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6F" w:rsidRPr="00E3096F" w:rsidRDefault="00E3096F" w:rsidP="00E3096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96F">
        <w:rPr>
          <w:rFonts w:ascii="Times New Roman" w:eastAsia="Times New Roman" w:hAnsi="Times New Roman" w:cs="Times New Roman"/>
          <w:b/>
          <w:lang w:eastAsia="hr-HR"/>
        </w:rPr>
        <w:t>Natječaj je objavljen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E3096F">
        <w:rPr>
          <w:rFonts w:ascii="Times New Roman" w:eastAsia="Times New Roman" w:hAnsi="Times New Roman" w:cs="Times New Roman"/>
          <w:b/>
          <w:lang w:eastAsia="hr-HR"/>
        </w:rPr>
        <w:t>u</w:t>
      </w:r>
      <w:bookmarkStart w:id="0" w:name="_GoBack"/>
      <w:bookmarkEnd w:id="0"/>
      <w:r w:rsidRPr="00E3096F">
        <w:rPr>
          <w:rFonts w:ascii="Times New Roman" w:eastAsia="Times New Roman" w:hAnsi="Times New Roman" w:cs="Times New Roman"/>
          <w:b/>
          <w:lang w:eastAsia="hr-HR"/>
        </w:rPr>
        <w:t xml:space="preserve"> Narodnim novinama br. 2 od 08.01.2021. godine</w:t>
      </w:r>
    </w:p>
    <w:p w:rsidR="00E3096F" w:rsidRDefault="00E3096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67DA1" w:rsidRDefault="0011386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hr-HR"/>
        </w:rPr>
        <w:t xml:space="preserve">Pročelnica Jedinstvenog upravnog odjela </w:t>
      </w:r>
      <w:r w:rsidR="00DB645D">
        <w:rPr>
          <w:rFonts w:ascii="Times New Roman" w:eastAsia="Times New Roman" w:hAnsi="Times New Roman" w:cs="Times New Roman"/>
          <w:lang w:eastAsia="hr-HR"/>
        </w:rPr>
        <w:t>Općine Vidovec na temelju članaka</w:t>
      </w:r>
      <w:r>
        <w:rPr>
          <w:rFonts w:ascii="Times New Roman" w:eastAsia="Times New Roman" w:hAnsi="Times New Roman" w:cs="Times New Roman"/>
          <w:lang w:eastAsia="hr-HR"/>
        </w:rPr>
        <w:t xml:space="preserve"> 17., 19. i 116. Zakona o službenicima i namještenicima u lokalnoj i područnoj (regionalnoj) samoupravi („Narodne novine“ br. 86/08, 61/11, 4/18 i 112/19- u nastavku teksta ZSNLS)</w:t>
      </w:r>
      <w:r w:rsidR="00DB645D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 xml:space="preserve"> raspisuje</w:t>
      </w:r>
    </w:p>
    <w:p w:rsidR="00667DA1" w:rsidRDefault="00667DA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667DA1" w:rsidRDefault="0011386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hr-HR"/>
        </w:rPr>
        <w:t>JAVNI NATJEČAJ</w:t>
      </w:r>
    </w:p>
    <w:p w:rsidR="00667DA1" w:rsidRDefault="00667DA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</w:p>
    <w:p w:rsidR="00667DA1" w:rsidRDefault="0011386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lang w:eastAsia="hr-HR"/>
        </w:rPr>
        <w:t>I.</w:t>
      </w:r>
    </w:p>
    <w:p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lang w:eastAsia="hr-HR"/>
        </w:rPr>
        <w:t>za prijam u službu namještenika u Jedinstveni upravni odjel Općine Vidovec na radno mjesto: ČISTAČICA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(1 izvršitelj – m/ž), na neodređeno vrijeme,  puno radno vrijeme, uz obvezni probni rad od 3 mjeseca.</w:t>
      </w:r>
    </w:p>
    <w:p w:rsidR="00667DA1" w:rsidRDefault="00667D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667DA1" w:rsidRDefault="0011386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hr-HR"/>
        </w:rPr>
        <w:tab/>
        <w:t>Kandidati moraju ispunjavati sljedeće posebne uvjete:</w:t>
      </w:r>
    </w:p>
    <w:p w:rsidR="00667DA1" w:rsidRDefault="0011386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hr-HR"/>
        </w:rPr>
        <w:tab/>
        <w:t>- NSS (niža stručna sprema) ili osnovna škola</w:t>
      </w:r>
    </w:p>
    <w:p w:rsidR="00667DA1" w:rsidRDefault="00667D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lang w:eastAsia="hr-HR"/>
        </w:rPr>
        <w:t>Osim navedenih posebnih uvjeta, kandidati moraju ispunjavati i opće uvjete za prijam u službu utvrđene člankom 12. ZSNLS-a (punoljetnost, hrvatsko državljanstvo, zdravstvena sposobnost za obavljanje poslova radnog mjesta na koje se osoba prima).</w:t>
      </w:r>
    </w:p>
    <w:p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istog Zakona.</w:t>
      </w:r>
    </w:p>
    <w:p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javiti osobe oba spola sukladno članku 13. Zakona o ravnopravnosti spolova </w:t>
      </w:r>
      <w:r>
        <w:rPr>
          <w:rFonts w:ascii="Minion Pro" w:eastAsia="Times New Roman" w:hAnsi="Minion Pro" w:cs="Times New Roman"/>
          <w:color w:val="000000"/>
          <w:lang w:eastAsia="hr-HR"/>
        </w:rPr>
        <w:t>("Narodne novine" broj 82/08 i 69/17)</w:t>
      </w:r>
      <w:r>
        <w:rPr>
          <w:rFonts w:ascii="Times New Roman" w:eastAsia="Times New Roman" w:hAnsi="Times New Roman" w:cs="Times New Roman"/>
          <w:lang w:eastAsia="hr-HR"/>
        </w:rPr>
        <w:t>. Riječi i pojmovi koji imaju rodno značenje korišteni u ovom natječaju odnose se jednako na muški i ženski rod, bez obzira na to jesu li korišteni u muškom ili ženskom rodu.</w:t>
      </w:r>
    </w:p>
    <w:p w:rsidR="00667DA1" w:rsidRDefault="00667DA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667DA1" w:rsidRDefault="0011386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lang w:eastAsia="hr-HR"/>
        </w:rPr>
        <w:t>II.</w:t>
      </w:r>
    </w:p>
    <w:p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lang w:eastAsia="hr-HR"/>
        </w:rPr>
        <w:t>U prijavi na javni natječaj potrebno je navesti osobne podatke podnositelja prijave (ime i prezime, OIB, datum i mjesto rođenja, adresa stanovanja, broj telefona/mobitela te po mogućnosti adresu elektroničke pošte) i naziv radnog mjesta na koji se osoba prijavljuje.</w:t>
      </w:r>
    </w:p>
    <w:p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lang w:eastAsia="hr-HR"/>
        </w:rPr>
        <w:t>Prijavu je potrebno vlastoručno potpisati.</w:t>
      </w:r>
    </w:p>
    <w:p w:rsidR="00667DA1" w:rsidRDefault="00667DA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667DA1" w:rsidRDefault="00113860">
      <w:pPr>
        <w:pStyle w:val="Standard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bCs/>
          <w:lang w:eastAsia="hr-HR"/>
        </w:rPr>
        <w:t>Uz prijavu, kandidati su dužni priložiti:</w:t>
      </w:r>
    </w:p>
    <w:p w:rsidR="00667DA1" w:rsidRDefault="00113860">
      <w:pPr>
        <w:pStyle w:val="Standard"/>
        <w:numPr>
          <w:ilvl w:val="1"/>
          <w:numId w:val="16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hr-HR"/>
        </w:rPr>
        <w:t>životopis</w:t>
      </w:r>
    </w:p>
    <w:p w:rsidR="00667DA1" w:rsidRDefault="00113860">
      <w:pPr>
        <w:pStyle w:val="Standard"/>
        <w:numPr>
          <w:ilvl w:val="1"/>
          <w:numId w:val="16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hr-HR"/>
        </w:rPr>
        <w:t>dokaz o stručnoj spremi (preslika svjedodžbe o završenom osnovnoškolskom obrazovanju  - svjedodžba završenog 8. razreda osnovne škole)</w:t>
      </w:r>
    </w:p>
    <w:p w:rsidR="00667DA1" w:rsidRDefault="00113860">
      <w:pPr>
        <w:pStyle w:val="Standard"/>
        <w:numPr>
          <w:ilvl w:val="1"/>
          <w:numId w:val="16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hr-HR"/>
        </w:rPr>
        <w:t>dokaz o hrvatskom državljanstvu (preslika domovnice ili osobne iskaznice)</w:t>
      </w:r>
    </w:p>
    <w:p w:rsidR="00667DA1" w:rsidRDefault="00113860">
      <w:pPr>
        <w:pStyle w:val="Standard"/>
        <w:numPr>
          <w:ilvl w:val="1"/>
          <w:numId w:val="16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hr-HR"/>
        </w:rPr>
        <w:t>potvrdu o podacima evidentiranim u matičnoj evidenciji Hrvatskog zavoda za mirovinsko osiguranje ili elektronički zapis u slučaju da je podnositelj prijave podnio zahtjev u elektroničkom obliku preko korisničkih stranica Hrvatskog zavoda za mirovinsko osiguranje (e-radna knjižica)</w:t>
      </w:r>
    </w:p>
    <w:p w:rsidR="00667DA1" w:rsidRDefault="00113860">
      <w:pPr>
        <w:pStyle w:val="Standard"/>
        <w:numPr>
          <w:ilvl w:val="1"/>
          <w:numId w:val="1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hr-HR"/>
        </w:rPr>
        <w:t>vlastoručno potpisanu izjavu kandidata da u odnosu na njega ne postoje zapreke za prijam u službu iz članka 15. i 16. Zakona o službenicima i namještenicima u lokalnoj i područnoj (regionalnoj) samoupravi</w:t>
      </w:r>
    </w:p>
    <w:p w:rsidR="00667DA1" w:rsidRDefault="00113860">
      <w:pPr>
        <w:pStyle w:val="Standard"/>
        <w:numPr>
          <w:ilvl w:val="1"/>
          <w:numId w:val="16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hr-HR"/>
        </w:rPr>
        <w:t>uvjerenje nadležnog suda da se protiv podnositelja prijave ne vodi kazneni postupak (koje nije starije od 6 mjeseci).</w:t>
      </w:r>
    </w:p>
    <w:p w:rsidR="00667DA1" w:rsidRDefault="00667DA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Ako kandidat uz prijavu priloži dokumente u kojima osobni podaci nisu istovjetni, dužan je dostaviti i dokaz o njihovoj promjeni (presliku vjenčanog ili rodnog lista i sl.).</w:t>
      </w:r>
    </w:p>
    <w:p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lang w:eastAsia="hr-HR"/>
        </w:rPr>
        <w:t>Isprave se prilažu u neovjerenoj preslici, a prije izbora kandidata predočit će se izvornik.</w:t>
      </w:r>
    </w:p>
    <w:p w:rsidR="00667DA1" w:rsidRDefault="00667DA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lang w:eastAsia="hr-HR"/>
        </w:rPr>
        <w:t>Svi podaci koje dostave kandidati obrađivati će se samo u svrhu provedbe natječaja. Kandidati prijavom na natječaj pristaju da Općina Vidovec, kao voditelj obrade, prikupljene podatke na temelju ovog natječaja obrađuje samo u obimu i samo u svrhu provedbe istog, od strane ovlaštenih osoba za provedbu natječaja. Općina Vidovec s osobnim podacima postupati će sukladno pozitivnim propisima uz primjenu odgovarajućih tehničkih i sigurnosnih mjera zaštite osobnih podataka od neovlaštenog pristupa, zlouporabe, otkrivanja, gubitka ili oštećenja.</w:t>
      </w:r>
    </w:p>
    <w:p w:rsidR="00667DA1" w:rsidRDefault="00667DA1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667DA1" w:rsidRDefault="00667DA1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667DA1" w:rsidRPr="004C04E6" w:rsidRDefault="004C04E6" w:rsidP="004C04E6">
      <w:pPr>
        <w:pStyle w:val="Bezproreda"/>
        <w:ind w:firstLine="708"/>
        <w:jc w:val="both"/>
        <w:rPr>
          <w:rFonts w:ascii="Times New Roman" w:hAnsi="Times New Roman" w:cs="Times New Roman"/>
          <w:lang w:val="en-US" w:eastAsia="hr-HR"/>
        </w:rPr>
      </w:pPr>
      <w:proofErr w:type="spellStart"/>
      <w:r w:rsidRPr="004C04E6">
        <w:rPr>
          <w:rFonts w:ascii="Times New Roman" w:hAnsi="Times New Roman" w:cs="Times New Roman"/>
          <w:lang w:val="en-US" w:eastAsia="hr-HR"/>
        </w:rPr>
        <w:t>Osobe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koje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prema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posebnim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propisima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ostvaruju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pravo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prednosti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zapošljavanju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imaju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prednost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u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odnosu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 w:rsidRPr="004C04E6">
        <w:rPr>
          <w:rFonts w:ascii="Times New Roman" w:hAnsi="Times New Roman" w:cs="Times New Roman"/>
          <w:lang w:val="en-US" w:eastAsia="hr-HR"/>
        </w:rPr>
        <w:t>na</w:t>
      </w:r>
      <w:proofErr w:type="spellEnd"/>
      <w:proofErr w:type="gram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ostale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kandidate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samo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pod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jednakim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uvjetima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val="en-US" w:eastAsia="hr-HR"/>
        </w:rPr>
        <w:t>obavezno</w:t>
      </w:r>
      <w:proofErr w:type="spellEnd"/>
      <w:r>
        <w:rPr>
          <w:rFonts w:ascii="Times New Roman" w:hAnsi="Times New Roman" w:cs="Times New Roman"/>
          <w:lang w:val="en-US"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val="en-US" w:eastAsia="hr-HR"/>
        </w:rPr>
        <w:t>moraju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u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prijavi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na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natječaj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pozvati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na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to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pravo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.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Kandidati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koji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se u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prijavi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pozovu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 w:rsidRPr="004C04E6">
        <w:rPr>
          <w:rFonts w:ascii="Times New Roman" w:hAnsi="Times New Roman" w:cs="Times New Roman"/>
          <w:lang w:val="en-US" w:eastAsia="hr-HR"/>
        </w:rPr>
        <w:t>na</w:t>
      </w:r>
      <w:proofErr w:type="spellEnd"/>
      <w:proofErr w:type="gramEnd"/>
      <w:r w:rsidRPr="004C04E6">
        <w:rPr>
          <w:rFonts w:ascii="Times New Roman" w:hAnsi="Times New Roman" w:cs="Times New Roman"/>
          <w:lang w:val="en-US" w:eastAsia="hr-HR"/>
        </w:rPr>
        <w:t xml:space="preserve"> to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pravo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obvezni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su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priložiti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odgovarajuće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isprave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kao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dokaz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o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statusu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te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druge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dokaze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sukladno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posebnom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zakonu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kojim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je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uređeno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to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pravo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>.</w:t>
      </w:r>
    </w:p>
    <w:p w:rsidR="00667DA1" w:rsidRDefault="00667DA1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667DA1" w:rsidRDefault="00113860">
      <w:pPr>
        <w:pStyle w:val="Bezproreda"/>
        <w:jc w:val="center"/>
      </w:pPr>
      <w:r>
        <w:rPr>
          <w:rFonts w:ascii="Times New Roman" w:hAnsi="Times New Roman" w:cs="Times New Roman"/>
          <w:lang w:eastAsia="hr-HR"/>
        </w:rPr>
        <w:t>III.</w:t>
      </w:r>
    </w:p>
    <w:p w:rsidR="00667DA1" w:rsidRDefault="00113860">
      <w:pPr>
        <w:pStyle w:val="Bezproreda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lang w:eastAsia="hr-HR"/>
        </w:rPr>
        <w:t>Kandidatom prijavljenim na natječaj smatrati će se samo osoba koja podnese pravovremenu i urednu prijavu te ispunjava formalne uvjete iz natječaja. Urednom prijavom smatra se potpuna prijava, odnosno prijava koja sadržava sve navedene podatke i priloge iz natječaja.</w:t>
      </w:r>
    </w:p>
    <w:p w:rsidR="00667DA1" w:rsidRDefault="00113860">
      <w:pPr>
        <w:pStyle w:val="Bezproreda"/>
        <w:ind w:firstLine="708"/>
        <w:jc w:val="both"/>
      </w:pPr>
      <w:r>
        <w:rPr>
          <w:rFonts w:ascii="Times New Roman" w:hAnsi="Times New Roman" w:cs="Times New Roman"/>
          <w:lang w:eastAsia="hr-HR"/>
        </w:rPr>
        <w:t>Nepravodobne i nepotpune prijave neće se razmatrati. Osobe koje ne podnesu pravodobnu i urednu prijavu ili ne ispunjavaju formalne uvjete natječaja, ne smatraju se kandidatima prijavljenim na natječaj te će o tome biti pisano obaviješteni. Podnositelj nepotpune prijave na natječaj neće biti pozivan na dopunu iste.</w:t>
      </w:r>
    </w:p>
    <w:p w:rsidR="00667DA1" w:rsidRDefault="00113860">
      <w:pPr>
        <w:pStyle w:val="Bezproreda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lang w:eastAsia="hr-HR"/>
        </w:rPr>
        <w:t>Uvjerenje o zdravstvenoj sposobnosti dostavlja izabrani kandidat po primitku rješenja o prijmu u službu, a prije donošenja rješenja o rasporedu.</w:t>
      </w:r>
    </w:p>
    <w:p w:rsidR="00667DA1" w:rsidRDefault="00667DA1">
      <w:pPr>
        <w:pStyle w:val="Bezproreda"/>
        <w:rPr>
          <w:rFonts w:ascii="Times New Roman" w:hAnsi="Times New Roman" w:cs="Times New Roman"/>
          <w:lang w:eastAsia="hr-HR"/>
        </w:rPr>
      </w:pPr>
    </w:p>
    <w:p w:rsidR="00667DA1" w:rsidRDefault="00113860">
      <w:pPr>
        <w:pStyle w:val="Bezproreda"/>
        <w:jc w:val="center"/>
      </w:pPr>
      <w:r>
        <w:rPr>
          <w:rFonts w:ascii="Times New Roman" w:hAnsi="Times New Roman" w:cs="Times New Roman"/>
          <w:lang w:eastAsia="hr-HR"/>
        </w:rPr>
        <w:t>IV.</w:t>
      </w:r>
    </w:p>
    <w:p w:rsidR="00667DA1" w:rsidRDefault="00113860">
      <w:pPr>
        <w:pStyle w:val="Bezproreda"/>
        <w:ind w:firstLine="708"/>
        <w:jc w:val="both"/>
      </w:pPr>
      <w:r>
        <w:rPr>
          <w:rFonts w:ascii="Times New Roman" w:hAnsi="Times New Roman" w:cs="Times New Roman"/>
          <w:lang w:eastAsia="hr-HR"/>
        </w:rPr>
        <w:t>Natječajni postupak obuhvaća obaveznu  prethodnu provjeru znanja i sposobnosti kandidata putem pisanog testa iz općeg znanja i intervjua. Na prethodnu provjeru znanja i sposobnosti mogu pristupiti samo kandidati koji ispunjavaju formalne uvjete iz natječaja.</w:t>
      </w:r>
    </w:p>
    <w:p w:rsidR="00667DA1" w:rsidRDefault="00667DA1">
      <w:pPr>
        <w:pStyle w:val="Bezproreda"/>
        <w:rPr>
          <w:rFonts w:ascii="Times New Roman" w:hAnsi="Times New Roman" w:cs="Times New Roman"/>
        </w:rPr>
      </w:pPr>
    </w:p>
    <w:p w:rsidR="00667DA1" w:rsidRDefault="00113860">
      <w:pPr>
        <w:pStyle w:val="Bezproreda"/>
        <w:jc w:val="center"/>
      </w:pPr>
      <w:r>
        <w:rPr>
          <w:rFonts w:ascii="Times New Roman" w:hAnsi="Times New Roman" w:cs="Times New Roman"/>
        </w:rPr>
        <w:t>V.</w:t>
      </w:r>
    </w:p>
    <w:p w:rsidR="00667DA1" w:rsidRDefault="00113860">
      <w:pPr>
        <w:pStyle w:val="Bezproreda"/>
        <w:ind w:firstLine="708"/>
        <w:jc w:val="both"/>
      </w:pPr>
      <w:r>
        <w:rPr>
          <w:rFonts w:ascii="Times New Roman" w:hAnsi="Times New Roman" w:cs="Times New Roman"/>
        </w:rPr>
        <w:t>Opis poslova i podaci o plaći radnog mjesta te način obavljanja prethodne provjere znanja i sposobnosti bit će objavljeni na službenoj web-stranici Općine Vidovec (</w:t>
      </w:r>
      <w:hyperlink r:id="rId8" w:history="1">
        <w:r>
          <w:rPr>
            <w:rFonts w:ascii="Times New Roman" w:hAnsi="Times New Roman" w:cs="Times New Roman"/>
          </w:rPr>
          <w:t>www.vidovec.hr</w:t>
        </w:r>
      </w:hyperlink>
      <w:r>
        <w:rPr>
          <w:rFonts w:ascii="Times New Roman" w:hAnsi="Times New Roman" w:cs="Times New Roman"/>
          <w:color w:val="00000A"/>
        </w:rPr>
        <w:t xml:space="preserve">  Dokumenti →Natječaji</w:t>
      </w:r>
      <w:r>
        <w:rPr>
          <w:rFonts w:ascii="Times New Roman" w:hAnsi="Times New Roman" w:cs="Times New Roman"/>
        </w:rPr>
        <w:t>).</w:t>
      </w:r>
    </w:p>
    <w:p w:rsidR="00667DA1" w:rsidRDefault="00113860">
      <w:pPr>
        <w:pStyle w:val="Bezproreda"/>
        <w:ind w:firstLine="708"/>
      </w:pPr>
      <w:r>
        <w:rPr>
          <w:rFonts w:ascii="Times New Roman" w:hAnsi="Times New Roman" w:cs="Times New Roman"/>
        </w:rPr>
        <w:t>Vrijeme i mjesto održavanja testiranja objaviti će se najmanje pet (5) dana prije testiranja na istoj web-stranici i na oglasnoj ploči Općine Vidovec, Trg svetog Vida 9, Vidovec.</w:t>
      </w:r>
    </w:p>
    <w:p w:rsidR="00667DA1" w:rsidRDefault="00113860">
      <w:pPr>
        <w:pStyle w:val="Bezproreda"/>
        <w:ind w:firstLine="708"/>
        <w:jc w:val="both"/>
      </w:pPr>
      <w:r>
        <w:rPr>
          <w:rFonts w:ascii="Times New Roman" w:hAnsi="Times New Roman" w:cs="Times New Roman"/>
        </w:rPr>
        <w:t>Kandidati su obvezni pristupiti prethodnoj provjeri znanja i sposobnosti putem pisanog testiranja i intervjua.</w:t>
      </w:r>
    </w:p>
    <w:p w:rsidR="00667DA1" w:rsidRDefault="00113860">
      <w:pPr>
        <w:pStyle w:val="Bezproreda"/>
        <w:ind w:firstLine="708"/>
        <w:jc w:val="both"/>
      </w:pPr>
      <w:r>
        <w:rPr>
          <w:rFonts w:ascii="Times New Roman" w:hAnsi="Times New Roman" w:cs="Times New Roman"/>
        </w:rPr>
        <w:t>Ako kandidat ne pristupi testiranju, odnosno odustane od testiranja smatra se da je povukao prijavu na natječaj i ne smatra se kandidatom u postupku.</w:t>
      </w:r>
    </w:p>
    <w:p w:rsidR="00667DA1" w:rsidRDefault="00667DA1">
      <w:pPr>
        <w:pStyle w:val="Bezproreda"/>
        <w:rPr>
          <w:rFonts w:ascii="Times New Roman" w:hAnsi="Times New Roman" w:cs="Times New Roman"/>
        </w:rPr>
      </w:pPr>
    </w:p>
    <w:p w:rsidR="00667DA1" w:rsidRDefault="00113860">
      <w:pPr>
        <w:pStyle w:val="Bezproreda"/>
        <w:jc w:val="center"/>
      </w:pPr>
      <w:r>
        <w:rPr>
          <w:rFonts w:ascii="Times New Roman" w:hAnsi="Times New Roman" w:cs="Times New Roman"/>
          <w:lang w:eastAsia="hr-HR"/>
        </w:rPr>
        <w:t>VI.</w:t>
      </w:r>
    </w:p>
    <w:p w:rsidR="00667DA1" w:rsidRDefault="00113860">
      <w:pPr>
        <w:pStyle w:val="Bezproreda"/>
        <w:ind w:firstLine="708"/>
        <w:jc w:val="both"/>
      </w:pPr>
      <w:r>
        <w:rPr>
          <w:rFonts w:ascii="Times New Roman" w:hAnsi="Times New Roman" w:cs="Times New Roman"/>
          <w:color w:val="000000"/>
          <w:lang w:eastAsia="hr-HR"/>
        </w:rPr>
        <w:t>Prijave na natječaj, s dokazima o ispunjavanju uvjeta,  podnose se na adresu: Općina Vidovec, Trg svetog Vida 9, 42205 Vidovec, Povjerenstvo za provedbu natječaja za radno mjesto: čistačica, u roku od 8 dana od dana objave natječaja</w:t>
      </w:r>
      <w:r>
        <w:rPr>
          <w:rFonts w:ascii="Times New Roman" w:hAnsi="Times New Roman"/>
        </w:rPr>
        <w:t xml:space="preserve"> </w:t>
      </w:r>
      <w:r w:rsidR="00E3096F">
        <w:rPr>
          <w:rFonts w:ascii="Times New Roman" w:hAnsi="Times New Roman" w:cs="Times New Roman"/>
          <w:color w:val="000000"/>
          <w:lang w:eastAsia="hr-HR"/>
        </w:rPr>
        <w:t xml:space="preserve">u „Narodnim novinama“ (do 18.01.2021. godine). </w:t>
      </w:r>
      <w:r>
        <w:rPr>
          <w:rFonts w:ascii="Times New Roman" w:hAnsi="Times New Roman" w:cs="Times New Roman"/>
          <w:lang w:eastAsia="hr-HR"/>
        </w:rPr>
        <w:t>Prijave se dostavljaju preporučenom pošiljkom ili predajom neposredno u Općinu Vidovec, Trg svetog Vida 9, Vidovec.</w:t>
      </w:r>
    </w:p>
    <w:p w:rsidR="00667DA1" w:rsidRDefault="00113860">
      <w:pPr>
        <w:pStyle w:val="Bezproreda"/>
        <w:ind w:firstLine="708"/>
        <w:jc w:val="both"/>
      </w:pPr>
      <w:r>
        <w:rPr>
          <w:rFonts w:ascii="Times New Roman" w:hAnsi="Times New Roman" w:cs="Times New Roman"/>
          <w:lang w:eastAsia="hr-HR"/>
        </w:rPr>
        <w:t>O rezultatima natječaja kandidati će biti obaviješteni u zakonskom roku.</w:t>
      </w:r>
    </w:p>
    <w:p w:rsidR="00667DA1" w:rsidRDefault="00667DA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67DA1" w:rsidRDefault="00667DA1">
      <w:pPr>
        <w:pStyle w:val="Standard"/>
        <w:spacing w:after="0" w:line="240" w:lineRule="auto"/>
      </w:pPr>
    </w:p>
    <w:p w:rsidR="00667DA1" w:rsidRDefault="0011386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>KLASA: 112-02/21-01/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01</w:t>
      </w:r>
      <w:proofErr w:type="spellEnd"/>
    </w:p>
    <w:p w:rsidR="00667DA1" w:rsidRDefault="0011386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>URBROJ: 2186/10-03/01-21/01</w:t>
      </w:r>
    </w:p>
    <w:p w:rsidR="00667DA1" w:rsidRDefault="0011386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 xml:space="preserve">Vidovec,  04. siječnja 2021.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</w:t>
      </w:r>
    </w:p>
    <w:p w:rsidR="00667DA1" w:rsidRDefault="00113860">
      <w:pPr>
        <w:pStyle w:val="Standard"/>
        <w:spacing w:after="0" w:line="240" w:lineRule="auto"/>
        <w:ind w:left="5664"/>
      </w:pPr>
      <w:r>
        <w:rPr>
          <w:rFonts w:ascii="Times New Roman" w:eastAsia="Times New Roman" w:hAnsi="Times New Roman" w:cs="Times New Roman"/>
          <w:b/>
          <w:lang w:eastAsia="hr-HR"/>
        </w:rPr>
        <w:t>JEDINSTVENI UPRAVNI ODJEL</w:t>
      </w:r>
    </w:p>
    <w:p w:rsidR="00667DA1" w:rsidRDefault="00113860">
      <w:pPr>
        <w:pStyle w:val="Standard"/>
        <w:spacing w:after="0" w:line="240" w:lineRule="auto"/>
        <w:ind w:left="5664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OPĆINE VIDOVEC</w:t>
      </w:r>
    </w:p>
    <w:p w:rsidR="00667DA1" w:rsidRDefault="00113860">
      <w:pPr>
        <w:pStyle w:val="Standard"/>
        <w:spacing w:after="0" w:line="240" w:lineRule="auto"/>
        <w:ind w:left="5664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PROČELN</w:t>
      </w:r>
      <w:r w:rsidR="00E3096F">
        <w:rPr>
          <w:rFonts w:ascii="Times New Roman" w:eastAsia="Times New Roman" w:hAnsi="Times New Roman" w:cs="Times New Roman"/>
          <w:b/>
          <w:lang w:eastAsia="hr-HR"/>
        </w:rPr>
        <w:t>I</w:t>
      </w:r>
      <w:r>
        <w:rPr>
          <w:rFonts w:ascii="Times New Roman" w:eastAsia="Times New Roman" w:hAnsi="Times New Roman" w:cs="Times New Roman"/>
          <w:b/>
          <w:lang w:eastAsia="hr-HR"/>
        </w:rPr>
        <w:t>CA</w:t>
      </w:r>
    </w:p>
    <w:p w:rsidR="00667DA1" w:rsidRDefault="0011386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</w:t>
      </w:r>
    </w:p>
    <w:sectPr w:rsidR="00667DA1">
      <w:headerReference w:type="first" r:id="rId9"/>
      <w:pgSz w:w="11906" w:h="16838"/>
      <w:pgMar w:top="1560" w:right="1417" w:bottom="766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D6" w:rsidRDefault="005013D6">
      <w:pPr>
        <w:spacing w:after="0" w:line="240" w:lineRule="auto"/>
      </w:pPr>
      <w:r>
        <w:separator/>
      </w:r>
    </w:p>
  </w:endnote>
  <w:endnote w:type="continuationSeparator" w:id="0">
    <w:p w:rsidR="005013D6" w:rsidRDefault="0050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D6" w:rsidRDefault="005013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13D6" w:rsidRDefault="0050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16" w:rsidRDefault="005013D6">
    <w:pPr>
      <w:pStyle w:val="Standard"/>
      <w:spacing w:before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29"/>
    <w:multiLevelType w:val="multilevel"/>
    <w:tmpl w:val="236402F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40F6051"/>
    <w:multiLevelType w:val="multilevel"/>
    <w:tmpl w:val="A092B270"/>
    <w:styleLink w:val="WWNum17"/>
    <w:lvl w:ilvl="0">
      <w:start w:val="1"/>
      <w:numFmt w:val="decimal"/>
      <w:lvlText w:val="%1."/>
      <w:lvlJc w:val="left"/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994374"/>
    <w:multiLevelType w:val="multilevel"/>
    <w:tmpl w:val="EB8E6C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53F4ED5"/>
    <w:multiLevelType w:val="multilevel"/>
    <w:tmpl w:val="27543DEC"/>
    <w:styleLink w:val="WWNum7"/>
    <w:lvl w:ilvl="0">
      <w:start w:val="1"/>
      <w:numFmt w:val="decimal"/>
      <w:lvlText w:val="%1."/>
      <w:lvlJc w:val="left"/>
      <w:rPr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978402F"/>
    <w:multiLevelType w:val="multilevel"/>
    <w:tmpl w:val="0BDEA1E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8870B2C"/>
    <w:multiLevelType w:val="multilevel"/>
    <w:tmpl w:val="878448B0"/>
    <w:styleLink w:val="WWNum1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89A5038"/>
    <w:multiLevelType w:val="multilevel"/>
    <w:tmpl w:val="99E093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D670423"/>
    <w:multiLevelType w:val="multilevel"/>
    <w:tmpl w:val="E6D28C9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F6740F0"/>
    <w:multiLevelType w:val="multilevel"/>
    <w:tmpl w:val="176CC92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B061C88"/>
    <w:multiLevelType w:val="multilevel"/>
    <w:tmpl w:val="65C0F07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ED537BB"/>
    <w:multiLevelType w:val="multilevel"/>
    <w:tmpl w:val="A4C8233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A7E182E"/>
    <w:multiLevelType w:val="multilevel"/>
    <w:tmpl w:val="BF468BDE"/>
    <w:styleLink w:val="WWNum15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4BBD6273"/>
    <w:multiLevelType w:val="multilevel"/>
    <w:tmpl w:val="4BCC4714"/>
    <w:styleLink w:val="WWNum1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>
    <w:nsid w:val="599628C1"/>
    <w:multiLevelType w:val="multilevel"/>
    <w:tmpl w:val="63BA47BE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14">
    <w:nsid w:val="67DE0FEB"/>
    <w:multiLevelType w:val="multilevel"/>
    <w:tmpl w:val="BA92E4C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68706C56"/>
    <w:multiLevelType w:val="multilevel"/>
    <w:tmpl w:val="CD8CF2F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8E31CDA"/>
    <w:multiLevelType w:val="multilevel"/>
    <w:tmpl w:val="294837C0"/>
    <w:styleLink w:val="WWNum21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17">
    <w:nsid w:val="6B2B30FF"/>
    <w:multiLevelType w:val="multilevel"/>
    <w:tmpl w:val="A7700E8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F457DE0"/>
    <w:multiLevelType w:val="multilevel"/>
    <w:tmpl w:val="8D3A96B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2FF01CD"/>
    <w:multiLevelType w:val="multilevel"/>
    <w:tmpl w:val="A5041C2A"/>
    <w:styleLink w:val="WWNum18"/>
    <w:lvl w:ilvl="0">
      <w:numFmt w:val="bullet"/>
      <w:lvlText w:val="-"/>
      <w:lvlJc w:val="left"/>
      <w:rPr>
        <w:rFonts w:ascii="Times New Roman" w:eastAsia="Calibri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>
    <w:nsid w:val="78EC4158"/>
    <w:multiLevelType w:val="multilevel"/>
    <w:tmpl w:val="2E4201A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0"/>
  </w:num>
  <w:num w:numId="7">
    <w:abstractNumId w:val="3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1"/>
  </w:num>
  <w:num w:numId="18">
    <w:abstractNumId w:val="19"/>
  </w:num>
  <w:num w:numId="19">
    <w:abstractNumId w:val="2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DA1"/>
    <w:rsid w:val="00113860"/>
    <w:rsid w:val="004C04E6"/>
    <w:rsid w:val="005013D6"/>
    <w:rsid w:val="00667DA1"/>
    <w:rsid w:val="009C7BD7"/>
    <w:rsid w:val="00D11DD7"/>
    <w:rsid w:val="00DB645D"/>
    <w:rsid w:val="00E3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baloni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  <w:suppressAutoHyphens/>
      <w:spacing w:after="0" w:line="240" w:lineRule="auto"/>
    </w:p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Zadanifontodlomka"/>
  </w:style>
  <w:style w:type="character" w:customStyle="1" w:styleId="FooterChar">
    <w:name w:val="Footer Char"/>
    <w:basedOn w:val="Zadanifontodlomka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8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Arial"/>
      <w:b w:val="0"/>
    </w:rPr>
  </w:style>
  <w:style w:type="character" w:customStyle="1" w:styleId="ListLabel6">
    <w:name w:val="ListLabel 6"/>
    <w:rPr>
      <w:rFonts w:eastAsia="Calibri" w:cs="Calibri"/>
    </w:rPr>
  </w:style>
  <w:style w:type="character" w:customStyle="1" w:styleId="ListLabel7">
    <w:name w:val="ListLabel 7"/>
    <w:rPr>
      <w:sz w:val="20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  <w:style w:type="numbering" w:customStyle="1" w:styleId="WWNum6">
    <w:name w:val="WWNum6"/>
    <w:basedOn w:val="Bezpopisa"/>
    <w:pPr>
      <w:numPr>
        <w:numId w:val="6"/>
      </w:numPr>
    </w:pPr>
  </w:style>
  <w:style w:type="numbering" w:customStyle="1" w:styleId="WWNum7">
    <w:name w:val="WWNum7"/>
    <w:basedOn w:val="Bezpopisa"/>
    <w:pPr>
      <w:numPr>
        <w:numId w:val="7"/>
      </w:numPr>
    </w:pPr>
  </w:style>
  <w:style w:type="numbering" w:customStyle="1" w:styleId="WWNum8">
    <w:name w:val="WWNum8"/>
    <w:basedOn w:val="Bezpopisa"/>
    <w:pPr>
      <w:numPr>
        <w:numId w:val="8"/>
      </w:numPr>
    </w:pPr>
  </w:style>
  <w:style w:type="numbering" w:customStyle="1" w:styleId="WWNum9">
    <w:name w:val="WWNum9"/>
    <w:basedOn w:val="Bezpopisa"/>
    <w:pPr>
      <w:numPr>
        <w:numId w:val="9"/>
      </w:numPr>
    </w:pPr>
  </w:style>
  <w:style w:type="numbering" w:customStyle="1" w:styleId="WWNum10">
    <w:name w:val="WWNum10"/>
    <w:basedOn w:val="Bezpopisa"/>
    <w:pPr>
      <w:numPr>
        <w:numId w:val="10"/>
      </w:numPr>
    </w:pPr>
  </w:style>
  <w:style w:type="numbering" w:customStyle="1" w:styleId="WWNum11">
    <w:name w:val="WWNum11"/>
    <w:basedOn w:val="Bezpopisa"/>
    <w:pPr>
      <w:numPr>
        <w:numId w:val="11"/>
      </w:numPr>
    </w:pPr>
  </w:style>
  <w:style w:type="numbering" w:customStyle="1" w:styleId="WWNum12">
    <w:name w:val="WWNum12"/>
    <w:basedOn w:val="Bezpopisa"/>
    <w:pPr>
      <w:numPr>
        <w:numId w:val="12"/>
      </w:numPr>
    </w:pPr>
  </w:style>
  <w:style w:type="numbering" w:customStyle="1" w:styleId="WWNum13">
    <w:name w:val="WWNum13"/>
    <w:basedOn w:val="Bezpopisa"/>
    <w:pPr>
      <w:numPr>
        <w:numId w:val="13"/>
      </w:numPr>
    </w:pPr>
  </w:style>
  <w:style w:type="numbering" w:customStyle="1" w:styleId="WWNum14">
    <w:name w:val="WWNum14"/>
    <w:basedOn w:val="Bezpopisa"/>
    <w:pPr>
      <w:numPr>
        <w:numId w:val="14"/>
      </w:numPr>
    </w:pPr>
  </w:style>
  <w:style w:type="numbering" w:customStyle="1" w:styleId="WWNum15">
    <w:name w:val="WWNum15"/>
    <w:basedOn w:val="Bezpopisa"/>
    <w:pPr>
      <w:numPr>
        <w:numId w:val="15"/>
      </w:numPr>
    </w:pPr>
  </w:style>
  <w:style w:type="numbering" w:customStyle="1" w:styleId="WWNum16">
    <w:name w:val="WWNum16"/>
    <w:basedOn w:val="Bezpopisa"/>
    <w:pPr>
      <w:numPr>
        <w:numId w:val="16"/>
      </w:numPr>
    </w:pPr>
  </w:style>
  <w:style w:type="numbering" w:customStyle="1" w:styleId="WWNum17">
    <w:name w:val="WWNum17"/>
    <w:basedOn w:val="Bezpopisa"/>
    <w:pPr>
      <w:numPr>
        <w:numId w:val="17"/>
      </w:numPr>
    </w:pPr>
  </w:style>
  <w:style w:type="numbering" w:customStyle="1" w:styleId="WWNum18">
    <w:name w:val="WWNum18"/>
    <w:basedOn w:val="Bezpopisa"/>
    <w:pPr>
      <w:numPr>
        <w:numId w:val="18"/>
      </w:numPr>
    </w:pPr>
  </w:style>
  <w:style w:type="numbering" w:customStyle="1" w:styleId="WWNum19">
    <w:name w:val="WWNum19"/>
    <w:basedOn w:val="Bezpopisa"/>
    <w:pPr>
      <w:numPr>
        <w:numId w:val="19"/>
      </w:numPr>
    </w:pPr>
  </w:style>
  <w:style w:type="numbering" w:customStyle="1" w:styleId="WWNum20">
    <w:name w:val="WWNum20"/>
    <w:basedOn w:val="Bezpopisa"/>
    <w:pPr>
      <w:numPr>
        <w:numId w:val="20"/>
      </w:numPr>
    </w:pPr>
  </w:style>
  <w:style w:type="numbering" w:customStyle="1" w:styleId="WWNum21">
    <w:name w:val="WWNum21"/>
    <w:basedOn w:val="Bezpopisa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baloni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  <w:suppressAutoHyphens/>
      <w:spacing w:after="0" w:line="240" w:lineRule="auto"/>
    </w:p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Zadanifontodlomka"/>
  </w:style>
  <w:style w:type="character" w:customStyle="1" w:styleId="FooterChar">
    <w:name w:val="Footer Char"/>
    <w:basedOn w:val="Zadanifontodlomka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8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Arial"/>
      <w:b w:val="0"/>
    </w:rPr>
  </w:style>
  <w:style w:type="character" w:customStyle="1" w:styleId="ListLabel6">
    <w:name w:val="ListLabel 6"/>
    <w:rPr>
      <w:rFonts w:eastAsia="Calibri" w:cs="Calibri"/>
    </w:rPr>
  </w:style>
  <w:style w:type="character" w:customStyle="1" w:styleId="ListLabel7">
    <w:name w:val="ListLabel 7"/>
    <w:rPr>
      <w:sz w:val="20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  <w:style w:type="numbering" w:customStyle="1" w:styleId="WWNum6">
    <w:name w:val="WWNum6"/>
    <w:basedOn w:val="Bezpopisa"/>
    <w:pPr>
      <w:numPr>
        <w:numId w:val="6"/>
      </w:numPr>
    </w:pPr>
  </w:style>
  <w:style w:type="numbering" w:customStyle="1" w:styleId="WWNum7">
    <w:name w:val="WWNum7"/>
    <w:basedOn w:val="Bezpopisa"/>
    <w:pPr>
      <w:numPr>
        <w:numId w:val="7"/>
      </w:numPr>
    </w:pPr>
  </w:style>
  <w:style w:type="numbering" w:customStyle="1" w:styleId="WWNum8">
    <w:name w:val="WWNum8"/>
    <w:basedOn w:val="Bezpopisa"/>
    <w:pPr>
      <w:numPr>
        <w:numId w:val="8"/>
      </w:numPr>
    </w:pPr>
  </w:style>
  <w:style w:type="numbering" w:customStyle="1" w:styleId="WWNum9">
    <w:name w:val="WWNum9"/>
    <w:basedOn w:val="Bezpopisa"/>
    <w:pPr>
      <w:numPr>
        <w:numId w:val="9"/>
      </w:numPr>
    </w:pPr>
  </w:style>
  <w:style w:type="numbering" w:customStyle="1" w:styleId="WWNum10">
    <w:name w:val="WWNum10"/>
    <w:basedOn w:val="Bezpopisa"/>
    <w:pPr>
      <w:numPr>
        <w:numId w:val="10"/>
      </w:numPr>
    </w:pPr>
  </w:style>
  <w:style w:type="numbering" w:customStyle="1" w:styleId="WWNum11">
    <w:name w:val="WWNum11"/>
    <w:basedOn w:val="Bezpopisa"/>
    <w:pPr>
      <w:numPr>
        <w:numId w:val="11"/>
      </w:numPr>
    </w:pPr>
  </w:style>
  <w:style w:type="numbering" w:customStyle="1" w:styleId="WWNum12">
    <w:name w:val="WWNum12"/>
    <w:basedOn w:val="Bezpopisa"/>
    <w:pPr>
      <w:numPr>
        <w:numId w:val="12"/>
      </w:numPr>
    </w:pPr>
  </w:style>
  <w:style w:type="numbering" w:customStyle="1" w:styleId="WWNum13">
    <w:name w:val="WWNum13"/>
    <w:basedOn w:val="Bezpopisa"/>
    <w:pPr>
      <w:numPr>
        <w:numId w:val="13"/>
      </w:numPr>
    </w:pPr>
  </w:style>
  <w:style w:type="numbering" w:customStyle="1" w:styleId="WWNum14">
    <w:name w:val="WWNum14"/>
    <w:basedOn w:val="Bezpopisa"/>
    <w:pPr>
      <w:numPr>
        <w:numId w:val="14"/>
      </w:numPr>
    </w:pPr>
  </w:style>
  <w:style w:type="numbering" w:customStyle="1" w:styleId="WWNum15">
    <w:name w:val="WWNum15"/>
    <w:basedOn w:val="Bezpopisa"/>
    <w:pPr>
      <w:numPr>
        <w:numId w:val="15"/>
      </w:numPr>
    </w:pPr>
  </w:style>
  <w:style w:type="numbering" w:customStyle="1" w:styleId="WWNum16">
    <w:name w:val="WWNum16"/>
    <w:basedOn w:val="Bezpopisa"/>
    <w:pPr>
      <w:numPr>
        <w:numId w:val="16"/>
      </w:numPr>
    </w:pPr>
  </w:style>
  <w:style w:type="numbering" w:customStyle="1" w:styleId="WWNum17">
    <w:name w:val="WWNum17"/>
    <w:basedOn w:val="Bezpopisa"/>
    <w:pPr>
      <w:numPr>
        <w:numId w:val="17"/>
      </w:numPr>
    </w:pPr>
  </w:style>
  <w:style w:type="numbering" w:customStyle="1" w:styleId="WWNum18">
    <w:name w:val="WWNum18"/>
    <w:basedOn w:val="Bezpopisa"/>
    <w:pPr>
      <w:numPr>
        <w:numId w:val="18"/>
      </w:numPr>
    </w:pPr>
  </w:style>
  <w:style w:type="numbering" w:customStyle="1" w:styleId="WWNum19">
    <w:name w:val="WWNum19"/>
    <w:basedOn w:val="Bezpopisa"/>
    <w:pPr>
      <w:numPr>
        <w:numId w:val="19"/>
      </w:numPr>
    </w:pPr>
  </w:style>
  <w:style w:type="numbering" w:customStyle="1" w:styleId="WWNum20">
    <w:name w:val="WWNum20"/>
    <w:basedOn w:val="Bezpopisa"/>
    <w:pPr>
      <w:numPr>
        <w:numId w:val="20"/>
      </w:numPr>
    </w:pPr>
  </w:style>
  <w:style w:type="numbering" w:customStyle="1" w:styleId="WWNum21">
    <w:name w:val="WWNum21"/>
    <w:basedOn w:val="Bezpopis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vec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Stojkić</dc:creator>
  <cp:lastModifiedBy>Nikolina</cp:lastModifiedBy>
  <cp:revision>6</cp:revision>
  <cp:lastPrinted>2021-01-04T10:24:00Z</cp:lastPrinted>
  <dcterms:created xsi:type="dcterms:W3CDTF">2021-01-04T09:30:00Z</dcterms:created>
  <dcterms:modified xsi:type="dcterms:W3CDTF">2021-01-08T13:19:00Z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