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C69E" w14:textId="77777777" w:rsidR="00FF4E74" w:rsidRPr="00EB1995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u w:val="single"/>
        </w:rPr>
      </w:pPr>
      <w:r w:rsidRPr="00EB1995">
        <w:rPr>
          <w:rFonts w:eastAsia="Calibri"/>
          <w:b/>
          <w:bCs/>
          <w:sz w:val="22"/>
          <w:szCs w:val="22"/>
          <w:u w:val="single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56E45FCF" w14:textId="77777777" w:rsidR="00FF4E74" w:rsidRPr="00EB1995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23C5BD3" w14:textId="1C112A0F" w:rsidR="00FF4E74" w:rsidRPr="00EB1995" w:rsidRDefault="00FF4E74" w:rsidP="00FF4E74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</w:rPr>
      </w:pPr>
      <w:r w:rsidRPr="00EB1995">
        <w:rPr>
          <w:rFonts w:eastAsia="Calibri"/>
          <w:bCs/>
          <w:sz w:val="22"/>
          <w:szCs w:val="22"/>
        </w:rPr>
        <w:t xml:space="preserve">za prijam u službu </w:t>
      </w:r>
      <w:r w:rsidR="00C147E8" w:rsidRPr="00EB1995">
        <w:rPr>
          <w:rFonts w:eastAsia="Calibri"/>
          <w:bCs/>
          <w:sz w:val="22"/>
          <w:szCs w:val="22"/>
        </w:rPr>
        <w:t>službenika</w:t>
      </w:r>
      <w:r w:rsidRPr="00EB1995">
        <w:rPr>
          <w:rFonts w:eastAsia="Calibri"/>
          <w:bCs/>
          <w:sz w:val="22"/>
          <w:szCs w:val="22"/>
        </w:rPr>
        <w:t xml:space="preserve"> na neodređeno vrijeme, </w:t>
      </w:r>
      <w:r w:rsidR="00DC5B4C" w:rsidRPr="00EB1995">
        <w:rPr>
          <w:rFonts w:eastAsia="Calibri"/>
          <w:bCs/>
          <w:sz w:val="22"/>
          <w:szCs w:val="22"/>
        </w:rPr>
        <w:t>puno radno vrijeme</w:t>
      </w:r>
      <w:r w:rsidRPr="00EB1995">
        <w:rPr>
          <w:rFonts w:eastAsia="Calibri"/>
          <w:bCs/>
          <w:sz w:val="22"/>
          <w:szCs w:val="22"/>
        </w:rPr>
        <w:t>, uz probni rad od tri (3) mjeseca, na radno mjesto u Općini Vidovec, Jedinstveni upravni odjel Općine Vidovec:</w:t>
      </w:r>
    </w:p>
    <w:p w14:paraId="309B560A" w14:textId="1284A2D0" w:rsidR="00FF4E74" w:rsidRPr="00EB1995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en-US"/>
        </w:rPr>
      </w:pPr>
      <w:r w:rsidRPr="00EB1995">
        <w:rPr>
          <w:rFonts w:eastAsia="Calibri"/>
          <w:bCs/>
          <w:sz w:val="22"/>
          <w:szCs w:val="22"/>
          <w:lang w:val="en-US"/>
        </w:rPr>
        <w:t xml:space="preserve">– </w:t>
      </w:r>
      <w:r w:rsidR="00C147E8" w:rsidRPr="00EB1995">
        <w:rPr>
          <w:rFonts w:eastAsia="Calibri"/>
          <w:bCs/>
          <w:sz w:val="22"/>
          <w:szCs w:val="22"/>
          <w:lang w:val="en-US"/>
        </w:rPr>
        <w:t xml:space="preserve">referent za </w:t>
      </w:r>
      <w:proofErr w:type="spellStart"/>
      <w:r w:rsidR="00C147E8" w:rsidRPr="00EB1995">
        <w:rPr>
          <w:rFonts w:eastAsia="Calibri"/>
          <w:bCs/>
          <w:sz w:val="22"/>
          <w:szCs w:val="22"/>
          <w:lang w:val="en-US"/>
        </w:rPr>
        <w:t>financijsko</w:t>
      </w:r>
      <w:proofErr w:type="spellEnd"/>
      <w:r w:rsidR="00C147E8" w:rsidRPr="00EB1995">
        <w:rPr>
          <w:rFonts w:eastAsia="Calibri"/>
          <w:bCs/>
          <w:sz w:val="22"/>
          <w:szCs w:val="22"/>
          <w:lang w:val="en-US"/>
        </w:rPr>
        <w:t xml:space="preserve"> – </w:t>
      </w:r>
      <w:proofErr w:type="spellStart"/>
      <w:r w:rsidR="00C147E8" w:rsidRPr="00EB1995">
        <w:rPr>
          <w:rFonts w:eastAsia="Calibri"/>
          <w:bCs/>
          <w:sz w:val="22"/>
          <w:szCs w:val="22"/>
          <w:lang w:val="en-US"/>
        </w:rPr>
        <w:t>računovodstvene</w:t>
      </w:r>
      <w:proofErr w:type="spellEnd"/>
      <w:r w:rsidR="00C147E8" w:rsidRPr="00EB1995">
        <w:rPr>
          <w:rFonts w:eastAsia="Calibri"/>
          <w:bCs/>
          <w:sz w:val="22"/>
          <w:szCs w:val="22"/>
          <w:lang w:val="en-US"/>
        </w:rPr>
        <w:t xml:space="preserve"> </w:t>
      </w:r>
      <w:proofErr w:type="spellStart"/>
      <w:r w:rsidR="00C147E8" w:rsidRPr="00EB1995">
        <w:rPr>
          <w:rFonts w:eastAsia="Calibri"/>
          <w:bCs/>
          <w:sz w:val="22"/>
          <w:szCs w:val="22"/>
          <w:lang w:val="en-US"/>
        </w:rPr>
        <w:t>poslove</w:t>
      </w:r>
      <w:proofErr w:type="spellEnd"/>
      <w:r w:rsidRPr="00EB1995">
        <w:rPr>
          <w:rFonts w:eastAsia="Calibri"/>
          <w:bCs/>
          <w:sz w:val="22"/>
          <w:szCs w:val="22"/>
          <w:lang w:val="en-US"/>
        </w:rPr>
        <w:t xml:space="preserve"> – 1 </w:t>
      </w:r>
      <w:proofErr w:type="spellStart"/>
      <w:r w:rsidRPr="00EB1995">
        <w:rPr>
          <w:rFonts w:eastAsia="Calibri"/>
          <w:bCs/>
          <w:sz w:val="22"/>
          <w:szCs w:val="22"/>
          <w:lang w:val="en-US"/>
        </w:rPr>
        <w:t>izvršitelj</w:t>
      </w:r>
      <w:proofErr w:type="spellEnd"/>
      <w:r w:rsidR="00DC5B4C" w:rsidRPr="00EB1995">
        <w:rPr>
          <w:rFonts w:eastAsia="Calibri"/>
          <w:bCs/>
          <w:sz w:val="22"/>
          <w:szCs w:val="22"/>
          <w:lang w:val="en-US"/>
        </w:rPr>
        <w:t xml:space="preserve"> (m/ž)</w:t>
      </w:r>
    </w:p>
    <w:p w14:paraId="524093CD" w14:textId="77777777" w:rsidR="006D751A" w:rsidRPr="00EB1995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1272F4F8" w14:textId="7E0CA6B9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Na temelju član</w:t>
      </w:r>
      <w:r w:rsidR="00C147E8" w:rsidRPr="00EB1995">
        <w:rPr>
          <w:rFonts w:eastAsia="Calibri"/>
          <w:sz w:val="22"/>
          <w:szCs w:val="22"/>
        </w:rPr>
        <w:t>a</w:t>
      </w:r>
      <w:r w:rsidRPr="00EB1995">
        <w:rPr>
          <w:rFonts w:eastAsia="Calibri"/>
          <w:sz w:val="22"/>
          <w:szCs w:val="22"/>
        </w:rPr>
        <w:t xml:space="preserve">ka </w:t>
      </w:r>
      <w:r w:rsidR="00C147E8" w:rsidRPr="00EB1995">
        <w:rPr>
          <w:rFonts w:eastAsia="Calibri"/>
          <w:sz w:val="22"/>
          <w:szCs w:val="22"/>
        </w:rPr>
        <w:t xml:space="preserve">17. i </w:t>
      </w:r>
      <w:r w:rsidRPr="00EB1995">
        <w:rPr>
          <w:rFonts w:eastAsia="Calibri"/>
          <w:sz w:val="22"/>
          <w:szCs w:val="22"/>
        </w:rPr>
        <w:t xml:space="preserve">19. Zakona o službenicima i namještenicima u lokalnoj i područnoj (regionalnoj) samoupravi („Narodne novine“, broj </w:t>
      </w:r>
      <w:r w:rsidR="00DC5B4C" w:rsidRPr="00EB1995">
        <w:rPr>
          <w:rFonts w:eastAsia="Calibri"/>
          <w:sz w:val="22"/>
          <w:szCs w:val="22"/>
        </w:rPr>
        <w:t>86/08, 61/11, 4/18 i 112/19</w:t>
      </w:r>
      <w:r w:rsidR="009E6C72" w:rsidRPr="00EB1995">
        <w:rPr>
          <w:rFonts w:eastAsia="Calibri"/>
          <w:sz w:val="22"/>
          <w:szCs w:val="22"/>
        </w:rPr>
        <w:t xml:space="preserve">), </w:t>
      </w:r>
      <w:r w:rsidRPr="00EB1995">
        <w:rPr>
          <w:rFonts w:eastAsia="Calibri"/>
          <w:sz w:val="22"/>
          <w:szCs w:val="22"/>
        </w:rPr>
        <w:t xml:space="preserve">pročelnica Jedinstvenog upravnog odjela </w:t>
      </w:r>
      <w:r w:rsidR="00342EF6">
        <w:rPr>
          <w:rFonts w:eastAsia="Calibri"/>
          <w:sz w:val="22"/>
          <w:szCs w:val="22"/>
        </w:rPr>
        <w:t xml:space="preserve">Općine Vidovec </w:t>
      </w:r>
      <w:r w:rsidRPr="00EB1995">
        <w:rPr>
          <w:rFonts w:eastAsia="Calibri"/>
          <w:sz w:val="22"/>
          <w:szCs w:val="22"/>
        </w:rPr>
        <w:t xml:space="preserve">raspisala je javni natječaj </w:t>
      </w:r>
      <w:r w:rsidR="00C147E8" w:rsidRPr="00EB1995">
        <w:rPr>
          <w:rFonts w:eastAsia="Calibri"/>
          <w:sz w:val="22"/>
          <w:szCs w:val="22"/>
        </w:rPr>
        <w:t xml:space="preserve">koji je </w:t>
      </w:r>
      <w:r w:rsidRPr="00EB1995">
        <w:rPr>
          <w:rFonts w:eastAsia="Calibri"/>
          <w:sz w:val="22"/>
          <w:szCs w:val="22"/>
        </w:rPr>
        <w:t>objavlje</w:t>
      </w:r>
      <w:r w:rsidR="009E6C72" w:rsidRPr="00EB1995">
        <w:rPr>
          <w:rFonts w:eastAsia="Calibri"/>
          <w:sz w:val="22"/>
          <w:szCs w:val="22"/>
        </w:rPr>
        <w:t xml:space="preserve">n u „Narodnim novinama“, broj </w:t>
      </w:r>
      <w:r w:rsidR="00C147E8" w:rsidRPr="00EB1995">
        <w:rPr>
          <w:rFonts w:eastAsia="Calibri"/>
          <w:sz w:val="22"/>
          <w:szCs w:val="22"/>
        </w:rPr>
        <w:t>64</w:t>
      </w:r>
      <w:r w:rsidR="00DC5B4C" w:rsidRPr="00EB1995">
        <w:rPr>
          <w:rFonts w:eastAsia="Calibri"/>
          <w:sz w:val="22"/>
          <w:szCs w:val="22"/>
        </w:rPr>
        <w:t>/21</w:t>
      </w:r>
      <w:r w:rsidRPr="00EB1995">
        <w:rPr>
          <w:rFonts w:eastAsia="Calibri"/>
          <w:sz w:val="22"/>
          <w:szCs w:val="22"/>
        </w:rPr>
        <w:t xml:space="preserve"> od  </w:t>
      </w:r>
      <w:r w:rsidR="00DC5B4C" w:rsidRPr="00EB1995">
        <w:rPr>
          <w:rFonts w:eastAsia="Calibri"/>
          <w:sz w:val="22"/>
          <w:szCs w:val="22"/>
        </w:rPr>
        <w:t>0</w:t>
      </w:r>
      <w:r w:rsidR="00C147E8" w:rsidRPr="00EB1995">
        <w:rPr>
          <w:rFonts w:eastAsia="Calibri"/>
          <w:sz w:val="22"/>
          <w:szCs w:val="22"/>
        </w:rPr>
        <w:t>9</w:t>
      </w:r>
      <w:r w:rsidR="00DC5B4C" w:rsidRPr="00EB1995">
        <w:rPr>
          <w:rFonts w:eastAsia="Calibri"/>
          <w:sz w:val="22"/>
          <w:szCs w:val="22"/>
        </w:rPr>
        <w:t>.0</w:t>
      </w:r>
      <w:r w:rsidR="00C147E8" w:rsidRPr="00EB1995">
        <w:rPr>
          <w:rFonts w:eastAsia="Calibri"/>
          <w:sz w:val="22"/>
          <w:szCs w:val="22"/>
        </w:rPr>
        <w:t>6</w:t>
      </w:r>
      <w:r w:rsidR="009E6C72" w:rsidRPr="00EB1995">
        <w:rPr>
          <w:rFonts w:eastAsia="Calibri"/>
          <w:sz w:val="22"/>
          <w:szCs w:val="22"/>
        </w:rPr>
        <w:t>.</w:t>
      </w:r>
      <w:r w:rsidR="00DC5B4C" w:rsidRPr="00EB1995">
        <w:rPr>
          <w:rFonts w:eastAsia="Calibri"/>
          <w:sz w:val="22"/>
          <w:szCs w:val="22"/>
        </w:rPr>
        <w:t>2021</w:t>
      </w:r>
      <w:r w:rsidRPr="00EB1995">
        <w:rPr>
          <w:rFonts w:eastAsia="Calibri"/>
          <w:sz w:val="22"/>
          <w:szCs w:val="22"/>
        </w:rPr>
        <w:t xml:space="preserve">. godine za prijam u službu </w:t>
      </w:r>
    </w:p>
    <w:p w14:paraId="5F2C8B3C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AE65F07" w14:textId="3FACCC05" w:rsidR="006D751A" w:rsidRPr="00EB1995" w:rsidRDefault="00C147E8" w:rsidP="006D751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EB1995">
        <w:rPr>
          <w:rFonts w:eastAsia="Calibri"/>
          <w:b/>
          <w:sz w:val="22"/>
          <w:szCs w:val="22"/>
        </w:rPr>
        <w:t>Referent za financijsko – računovodstvene poslove</w:t>
      </w:r>
      <w:r w:rsidR="006D751A" w:rsidRPr="00EB1995">
        <w:rPr>
          <w:rFonts w:eastAsia="Calibri"/>
          <w:b/>
          <w:sz w:val="22"/>
          <w:szCs w:val="22"/>
        </w:rPr>
        <w:t xml:space="preserve"> - 1 izvršitelj/</w:t>
      </w:r>
      <w:proofErr w:type="spellStart"/>
      <w:r w:rsidR="006D751A" w:rsidRPr="00EB1995">
        <w:rPr>
          <w:rFonts w:eastAsia="Calibri"/>
          <w:b/>
          <w:sz w:val="22"/>
          <w:szCs w:val="22"/>
        </w:rPr>
        <w:t>ica</w:t>
      </w:r>
      <w:proofErr w:type="spellEnd"/>
      <w:r w:rsidR="006D751A" w:rsidRPr="00EB1995">
        <w:rPr>
          <w:rFonts w:eastAsia="Calibri"/>
          <w:b/>
          <w:sz w:val="22"/>
          <w:szCs w:val="22"/>
        </w:rPr>
        <w:t xml:space="preserve"> na ne</w:t>
      </w:r>
      <w:r w:rsidR="00DC5B4C" w:rsidRPr="00EB1995">
        <w:rPr>
          <w:rFonts w:eastAsia="Calibri"/>
          <w:b/>
          <w:sz w:val="22"/>
          <w:szCs w:val="22"/>
        </w:rPr>
        <w:t xml:space="preserve">određeno vrijeme, </w:t>
      </w:r>
      <w:r w:rsidR="006D751A" w:rsidRPr="00EB1995">
        <w:rPr>
          <w:rFonts w:eastAsia="Calibri"/>
          <w:b/>
          <w:sz w:val="22"/>
          <w:szCs w:val="22"/>
        </w:rPr>
        <w:t>puno radno vrijeme</w:t>
      </w:r>
      <w:r w:rsidR="00342EF6">
        <w:rPr>
          <w:rFonts w:eastAsia="Calibri"/>
          <w:b/>
          <w:sz w:val="22"/>
          <w:szCs w:val="22"/>
        </w:rPr>
        <w:t>, uz obvezni probni rad od 3 mjeseca</w:t>
      </w:r>
    </w:p>
    <w:p w14:paraId="02D86E68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b/>
          <w:bCs/>
          <w:sz w:val="22"/>
          <w:szCs w:val="22"/>
        </w:rPr>
        <w:t xml:space="preserve">UPUTE I OBAVIJESTI KANDIDATIMA/TKINJAMA </w:t>
      </w:r>
      <w:r w:rsidRPr="00EB1995">
        <w:rPr>
          <w:rFonts w:eastAsia="Calibri"/>
          <w:sz w:val="22"/>
          <w:szCs w:val="22"/>
        </w:rPr>
        <w:t>(u daljnjem tekstu: kandidat u odgovarajućem padežu)</w:t>
      </w:r>
    </w:p>
    <w:p w14:paraId="44103D9C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7CE890FD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Kategorija:</w:t>
      </w:r>
      <w:r w:rsidRPr="00EB1995">
        <w:rPr>
          <w:b/>
          <w:sz w:val="22"/>
          <w:szCs w:val="22"/>
        </w:rPr>
        <w:tab/>
        <w:t>III.</w:t>
      </w:r>
    </w:p>
    <w:p w14:paraId="010F292F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Potkategorija: Referent</w:t>
      </w:r>
    </w:p>
    <w:p w14:paraId="3DAB9983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Klasifikacijski rang: 11</w:t>
      </w:r>
    </w:p>
    <w:p w14:paraId="7B2CFB39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</w:p>
    <w:p w14:paraId="07AEADB3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Naziv:</w:t>
      </w:r>
      <w:r w:rsidRPr="00EB1995">
        <w:rPr>
          <w:sz w:val="22"/>
          <w:szCs w:val="22"/>
        </w:rPr>
        <w:t xml:space="preserve"> </w:t>
      </w:r>
      <w:r w:rsidRPr="00EB1995">
        <w:rPr>
          <w:b/>
          <w:sz w:val="22"/>
          <w:szCs w:val="22"/>
        </w:rPr>
        <w:t>REFERENT ZA FINANCIJSKO - RAČUNOVODSTVENE POSLOVE</w:t>
      </w:r>
    </w:p>
    <w:p w14:paraId="534A6665" w14:textId="77777777" w:rsidR="00C147E8" w:rsidRPr="00EB1995" w:rsidRDefault="00C147E8" w:rsidP="00C147E8">
      <w:pPr>
        <w:jc w:val="both"/>
        <w:rPr>
          <w:sz w:val="22"/>
          <w:szCs w:val="22"/>
        </w:rPr>
      </w:pPr>
    </w:p>
    <w:p w14:paraId="68471DA3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Potrebno stručno znanje:</w:t>
      </w:r>
    </w:p>
    <w:p w14:paraId="0B48D41B" w14:textId="77777777" w:rsidR="00C147E8" w:rsidRPr="00EB1995" w:rsidRDefault="00C147E8" w:rsidP="00C147E8">
      <w:pPr>
        <w:rPr>
          <w:bCs/>
          <w:sz w:val="22"/>
          <w:szCs w:val="22"/>
        </w:rPr>
      </w:pPr>
      <w:r w:rsidRPr="00EB1995">
        <w:rPr>
          <w:sz w:val="22"/>
          <w:szCs w:val="22"/>
        </w:rPr>
        <w:t xml:space="preserve">                   -</w:t>
      </w:r>
      <w:r w:rsidRPr="00EB1995">
        <w:rPr>
          <w:b/>
          <w:sz w:val="22"/>
          <w:szCs w:val="22"/>
        </w:rPr>
        <w:t xml:space="preserve">     </w:t>
      </w:r>
      <w:r w:rsidRPr="00EB1995">
        <w:rPr>
          <w:bCs/>
          <w:sz w:val="22"/>
          <w:szCs w:val="22"/>
        </w:rPr>
        <w:t>srednja stručna sprema ekonomske struke</w:t>
      </w:r>
    </w:p>
    <w:p w14:paraId="03FDB3C7" w14:textId="77777777" w:rsidR="00C147E8" w:rsidRPr="00EB1995" w:rsidRDefault="00C147E8" w:rsidP="00C147E8">
      <w:pPr>
        <w:ind w:left="312" w:firstLine="708"/>
        <w:rPr>
          <w:bCs/>
          <w:sz w:val="22"/>
          <w:szCs w:val="22"/>
        </w:rPr>
      </w:pPr>
      <w:r w:rsidRPr="00EB1995">
        <w:rPr>
          <w:bCs/>
          <w:sz w:val="22"/>
          <w:szCs w:val="22"/>
        </w:rPr>
        <w:t>-      najmanje jedna godina radnog iskustva na odgovarajućim poslovima</w:t>
      </w:r>
    </w:p>
    <w:p w14:paraId="36E693F6" w14:textId="77777777" w:rsidR="00C147E8" w:rsidRPr="00EB1995" w:rsidRDefault="00C147E8" w:rsidP="00C147E8">
      <w:pPr>
        <w:numPr>
          <w:ilvl w:val="0"/>
          <w:numId w:val="3"/>
        </w:numPr>
        <w:rPr>
          <w:b/>
          <w:sz w:val="22"/>
          <w:szCs w:val="22"/>
        </w:rPr>
      </w:pPr>
      <w:r w:rsidRPr="00EB1995">
        <w:rPr>
          <w:bCs/>
          <w:sz w:val="22"/>
          <w:szCs w:val="22"/>
        </w:rPr>
        <w:t>položen državni stručni ispit</w:t>
      </w:r>
    </w:p>
    <w:p w14:paraId="46C726D3" w14:textId="77777777" w:rsidR="00C147E8" w:rsidRPr="00EB1995" w:rsidRDefault="00C147E8" w:rsidP="00C147E8">
      <w:pPr>
        <w:numPr>
          <w:ilvl w:val="0"/>
          <w:numId w:val="3"/>
        </w:numPr>
        <w:rPr>
          <w:bCs/>
          <w:sz w:val="22"/>
          <w:szCs w:val="22"/>
        </w:rPr>
      </w:pPr>
      <w:r w:rsidRPr="00EB1995">
        <w:rPr>
          <w:bCs/>
          <w:sz w:val="22"/>
          <w:szCs w:val="22"/>
        </w:rPr>
        <w:t>organizacijske i komunikacijske sposobnosti</w:t>
      </w:r>
    </w:p>
    <w:p w14:paraId="61293A0D" w14:textId="77777777" w:rsidR="00C147E8" w:rsidRPr="00EB1995" w:rsidRDefault="00C147E8" w:rsidP="00C147E8">
      <w:pPr>
        <w:numPr>
          <w:ilvl w:val="0"/>
          <w:numId w:val="3"/>
        </w:numPr>
        <w:rPr>
          <w:b/>
          <w:sz w:val="22"/>
          <w:szCs w:val="22"/>
        </w:rPr>
      </w:pPr>
      <w:r w:rsidRPr="00EB1995">
        <w:rPr>
          <w:bCs/>
          <w:sz w:val="22"/>
          <w:szCs w:val="22"/>
        </w:rPr>
        <w:t>poznavanje rada na računalu</w:t>
      </w:r>
    </w:p>
    <w:p w14:paraId="05A4F6EB" w14:textId="77777777" w:rsidR="00C147E8" w:rsidRPr="00EB1995" w:rsidRDefault="00C147E8" w:rsidP="00C147E8">
      <w:pPr>
        <w:rPr>
          <w:sz w:val="22"/>
          <w:szCs w:val="22"/>
        </w:rPr>
      </w:pPr>
    </w:p>
    <w:p w14:paraId="24A141F5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Složenost poslova:</w:t>
      </w:r>
    </w:p>
    <w:p w14:paraId="596C0A67" w14:textId="77777777" w:rsidR="00C147E8" w:rsidRPr="00EB1995" w:rsidRDefault="00C147E8" w:rsidP="00C147E8">
      <w:pPr>
        <w:jc w:val="both"/>
        <w:rPr>
          <w:sz w:val="22"/>
          <w:szCs w:val="22"/>
        </w:rPr>
      </w:pPr>
      <w:r w:rsidRPr="00EB1995">
        <w:rPr>
          <w:b/>
          <w:sz w:val="22"/>
          <w:szCs w:val="22"/>
        </w:rPr>
        <w:tab/>
      </w:r>
      <w:r w:rsidRPr="00EB1995">
        <w:rPr>
          <w:sz w:val="22"/>
          <w:szCs w:val="22"/>
        </w:rPr>
        <w:t>- stupanj složenosti posla koji uključuje jednostavne i uglavnom rutinske poslove koji zahtijevaju primjenu precizno utvrđenih postupaka, metoda rada i stručnih tehnika</w:t>
      </w:r>
    </w:p>
    <w:p w14:paraId="20D7E650" w14:textId="77777777" w:rsidR="00C147E8" w:rsidRPr="00EB1995" w:rsidRDefault="00C147E8" w:rsidP="00C147E8">
      <w:pPr>
        <w:jc w:val="both"/>
        <w:rPr>
          <w:sz w:val="22"/>
          <w:szCs w:val="22"/>
        </w:rPr>
      </w:pPr>
    </w:p>
    <w:p w14:paraId="15AB5D30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Stupanj samostalnosti:</w:t>
      </w:r>
    </w:p>
    <w:p w14:paraId="6A22B0E8" w14:textId="77777777" w:rsidR="00C147E8" w:rsidRPr="00EB1995" w:rsidRDefault="00C147E8" w:rsidP="00C147E8">
      <w:pPr>
        <w:jc w:val="both"/>
        <w:rPr>
          <w:sz w:val="22"/>
          <w:szCs w:val="22"/>
        </w:rPr>
      </w:pPr>
      <w:r w:rsidRPr="00EB1995">
        <w:rPr>
          <w:sz w:val="22"/>
          <w:szCs w:val="22"/>
        </w:rPr>
        <w:tab/>
        <w:t>- stupanj samostalnosti koji uključuje stalni nadzor i upute nadređenog službenika</w:t>
      </w:r>
    </w:p>
    <w:p w14:paraId="4FE9B682" w14:textId="77777777" w:rsidR="00C147E8" w:rsidRPr="00EB1995" w:rsidRDefault="00C147E8" w:rsidP="00C147E8">
      <w:pPr>
        <w:jc w:val="both"/>
        <w:rPr>
          <w:sz w:val="22"/>
          <w:szCs w:val="22"/>
        </w:rPr>
      </w:pPr>
    </w:p>
    <w:p w14:paraId="540B673A" w14:textId="77777777" w:rsidR="00C147E8" w:rsidRPr="00EB1995" w:rsidRDefault="00C147E8" w:rsidP="00C147E8">
      <w:pPr>
        <w:jc w:val="both"/>
        <w:rPr>
          <w:sz w:val="22"/>
          <w:szCs w:val="22"/>
        </w:rPr>
      </w:pPr>
      <w:r w:rsidRPr="00EB1995">
        <w:rPr>
          <w:b/>
          <w:sz w:val="22"/>
          <w:szCs w:val="22"/>
        </w:rPr>
        <w:t>Stupanj odgovornosti i utjecaj na donošenje odluka</w:t>
      </w:r>
      <w:r w:rsidRPr="00EB1995">
        <w:rPr>
          <w:sz w:val="22"/>
          <w:szCs w:val="22"/>
        </w:rPr>
        <w:t>:</w:t>
      </w:r>
    </w:p>
    <w:p w14:paraId="5483F948" w14:textId="77777777" w:rsidR="00C147E8" w:rsidRPr="00EB1995" w:rsidRDefault="00C147E8" w:rsidP="00C147E8">
      <w:pPr>
        <w:jc w:val="both"/>
        <w:rPr>
          <w:sz w:val="22"/>
          <w:szCs w:val="22"/>
        </w:rPr>
      </w:pPr>
      <w:r w:rsidRPr="00EB1995">
        <w:rPr>
          <w:sz w:val="22"/>
          <w:szCs w:val="22"/>
        </w:rPr>
        <w:tab/>
        <w:t>- stupanj odgovornosti koji uključuje odgovornost za materijalne resurse s kojima službenik radi, te pravilnu primjenu izričito propisanih postupaka, metoda rada i stručnih tehnika</w:t>
      </w:r>
    </w:p>
    <w:p w14:paraId="65FF177F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</w:p>
    <w:p w14:paraId="063542E6" w14:textId="77777777" w:rsidR="00C147E8" w:rsidRPr="00EB1995" w:rsidRDefault="00C147E8" w:rsidP="00C147E8">
      <w:pPr>
        <w:jc w:val="both"/>
        <w:rPr>
          <w:b/>
          <w:sz w:val="22"/>
          <w:szCs w:val="22"/>
        </w:rPr>
      </w:pPr>
      <w:r w:rsidRPr="00EB1995">
        <w:rPr>
          <w:b/>
          <w:sz w:val="22"/>
          <w:szCs w:val="22"/>
        </w:rPr>
        <w:t>Stupanj suradnje sa drugim tijelima i komunikacije sa strankama:</w:t>
      </w:r>
    </w:p>
    <w:p w14:paraId="44542A47" w14:textId="77777777" w:rsidR="00C147E8" w:rsidRPr="00EB1995" w:rsidRDefault="00C147E8" w:rsidP="00C147E8">
      <w:pPr>
        <w:jc w:val="both"/>
        <w:rPr>
          <w:sz w:val="22"/>
          <w:szCs w:val="22"/>
        </w:rPr>
      </w:pPr>
      <w:r w:rsidRPr="00EB1995">
        <w:rPr>
          <w:sz w:val="22"/>
          <w:szCs w:val="22"/>
        </w:rPr>
        <w:tab/>
        <w:t>- stupanj učestalosti stručnih komunikacija koji uključuje kontakte unutar i izvan upravnoga tijela s nižim unutarnjim ustrojstvenim jedinicama, u svrhu prikupljanja ili razmjene informacija, kao i potpunu komunikaciju sa strankama.</w:t>
      </w:r>
    </w:p>
    <w:p w14:paraId="6BE6AC86" w14:textId="77777777" w:rsidR="00C147E8" w:rsidRPr="00EB1995" w:rsidRDefault="00C147E8" w:rsidP="00C147E8">
      <w:pPr>
        <w:jc w:val="both"/>
        <w:rPr>
          <w:sz w:val="22"/>
          <w:szCs w:val="22"/>
        </w:rPr>
      </w:pPr>
    </w:p>
    <w:p w14:paraId="35362307" w14:textId="77777777" w:rsidR="00C147E8" w:rsidRPr="00EB1995" w:rsidRDefault="00C147E8" w:rsidP="00C147E8">
      <w:pPr>
        <w:jc w:val="both"/>
        <w:rPr>
          <w:sz w:val="22"/>
          <w:szCs w:val="22"/>
        </w:rPr>
      </w:pPr>
    </w:p>
    <w:p w14:paraId="78EA85ED" w14:textId="1D1659B6" w:rsidR="00C147E8" w:rsidRDefault="00C147E8" w:rsidP="00C147E8">
      <w:pPr>
        <w:rPr>
          <w:b/>
          <w:bCs/>
          <w:sz w:val="22"/>
          <w:szCs w:val="22"/>
        </w:rPr>
      </w:pPr>
    </w:p>
    <w:p w14:paraId="7D7C4EBD" w14:textId="24E5AEA2" w:rsidR="00EB1995" w:rsidRDefault="00EB1995" w:rsidP="00C147E8">
      <w:pPr>
        <w:rPr>
          <w:b/>
          <w:bCs/>
          <w:sz w:val="22"/>
          <w:szCs w:val="22"/>
        </w:rPr>
      </w:pPr>
    </w:p>
    <w:p w14:paraId="1A694E00" w14:textId="54E224F9" w:rsidR="00EB1995" w:rsidRDefault="00EB1995" w:rsidP="00C147E8">
      <w:pPr>
        <w:rPr>
          <w:b/>
          <w:bCs/>
          <w:sz w:val="22"/>
          <w:szCs w:val="22"/>
        </w:rPr>
      </w:pPr>
    </w:p>
    <w:p w14:paraId="02B14F89" w14:textId="6744DD89" w:rsidR="00EB1995" w:rsidRDefault="00EB1995" w:rsidP="00C147E8">
      <w:pPr>
        <w:rPr>
          <w:b/>
          <w:bCs/>
          <w:sz w:val="22"/>
          <w:szCs w:val="22"/>
        </w:rPr>
      </w:pPr>
    </w:p>
    <w:p w14:paraId="57F3B566" w14:textId="77777777" w:rsidR="00EB1995" w:rsidRPr="00EB1995" w:rsidRDefault="00EB1995" w:rsidP="00C147E8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7"/>
        <w:gridCol w:w="2335"/>
      </w:tblGrid>
      <w:tr w:rsidR="00C147E8" w:rsidRPr="00EB1995" w14:paraId="4531AEEB" w14:textId="77777777" w:rsidTr="00EB1995">
        <w:tc>
          <w:tcPr>
            <w:tcW w:w="6912" w:type="dxa"/>
            <w:shd w:val="clear" w:color="auto" w:fill="auto"/>
          </w:tcPr>
          <w:p w14:paraId="5820D2C0" w14:textId="77777777" w:rsidR="00C147E8" w:rsidRPr="00EB1995" w:rsidRDefault="00C147E8" w:rsidP="003529A7">
            <w:pPr>
              <w:jc w:val="center"/>
              <w:rPr>
                <w:b/>
                <w:sz w:val="22"/>
                <w:szCs w:val="22"/>
              </w:rPr>
            </w:pPr>
            <w:r w:rsidRPr="00EB1995">
              <w:rPr>
                <w:b/>
                <w:sz w:val="22"/>
                <w:szCs w:val="22"/>
              </w:rPr>
              <w:lastRenderedPageBreak/>
              <w:t>Poslovi radnog mjesta</w:t>
            </w:r>
          </w:p>
        </w:tc>
        <w:tc>
          <w:tcPr>
            <w:tcW w:w="2376" w:type="dxa"/>
            <w:shd w:val="clear" w:color="auto" w:fill="auto"/>
          </w:tcPr>
          <w:p w14:paraId="7E42011D" w14:textId="77777777" w:rsidR="00C147E8" w:rsidRPr="00EB1995" w:rsidRDefault="00C147E8" w:rsidP="003529A7">
            <w:pPr>
              <w:jc w:val="center"/>
              <w:rPr>
                <w:b/>
                <w:sz w:val="22"/>
                <w:szCs w:val="22"/>
              </w:rPr>
            </w:pPr>
            <w:r w:rsidRPr="00EB1995">
              <w:rPr>
                <w:b/>
                <w:sz w:val="22"/>
                <w:szCs w:val="22"/>
              </w:rPr>
              <w:t>Približan postotak vremena  potreban za obavljanje pojedinog posla</w:t>
            </w:r>
          </w:p>
        </w:tc>
      </w:tr>
      <w:tr w:rsidR="00C147E8" w:rsidRPr="00EB1995" w14:paraId="00C7EDD8" w14:textId="77777777" w:rsidTr="00EB1995">
        <w:tc>
          <w:tcPr>
            <w:tcW w:w="6912" w:type="dxa"/>
            <w:shd w:val="clear" w:color="auto" w:fill="auto"/>
          </w:tcPr>
          <w:p w14:paraId="1E10511A" w14:textId="77777777" w:rsidR="00C147E8" w:rsidRPr="00EB1995" w:rsidRDefault="00C147E8" w:rsidP="003529A7">
            <w:pPr>
              <w:jc w:val="both"/>
              <w:rPr>
                <w:b/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Obavlja poslove kontiranja i knjiženja u financijskom knjigovodstvu prihoda i izdataka,  potraživanja i obveza ulaznih i izlaznih računa, bankovnih i blagajničkih dokumenata</w:t>
            </w:r>
          </w:p>
        </w:tc>
        <w:tc>
          <w:tcPr>
            <w:tcW w:w="2376" w:type="dxa"/>
            <w:shd w:val="clear" w:color="auto" w:fill="auto"/>
          </w:tcPr>
          <w:p w14:paraId="73042337" w14:textId="77777777" w:rsidR="00C147E8" w:rsidRPr="00EB1995" w:rsidRDefault="00C147E8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20</w:t>
            </w:r>
          </w:p>
        </w:tc>
      </w:tr>
      <w:tr w:rsidR="00EB1995" w:rsidRPr="00EB1995" w14:paraId="1728DE42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4068" w14:textId="77777777" w:rsidR="00EB1995" w:rsidRPr="00EB1995" w:rsidRDefault="00EB1995" w:rsidP="00EB1995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Vodi blagajnu i blagajničko poslovanje, kontrolira i obrađuje evidencije utroška goriva temeljem dostavljene dokumentacije te putnih naloga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AC40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10</w:t>
            </w:r>
          </w:p>
        </w:tc>
      </w:tr>
      <w:tr w:rsidR="00EB1995" w:rsidRPr="00EB1995" w14:paraId="3422CCE7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36A3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Obavlja poslove obračuna i isplata plaća i drugih primanja službenika i namještenika Općine s pripadajućim porezima i doprinosima, poslove isplate naknada i pripadajućih poreza i doprinosa prema ugovorima o djelu, te poslove izrade i dostave nadležnim institucijama obrazaca i dokumentacije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C895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10</w:t>
            </w:r>
          </w:p>
        </w:tc>
      </w:tr>
      <w:tr w:rsidR="00EB1995" w:rsidRPr="00EB1995" w14:paraId="7E5B40E8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8C6A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Obavlja poslove obračuna i isplate troškova prisustvovanja na sjednicama nazočnim članovima Općinskog vijeća  i njihovih radnih tijela, te poslove obračuna naknade predsjedniku Općinskog vijeća, izrađuje obrasce i izvješća za potrebe nadležnih institucija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7D2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10</w:t>
            </w:r>
          </w:p>
        </w:tc>
      </w:tr>
      <w:tr w:rsidR="00EB1995" w:rsidRPr="00EB1995" w14:paraId="2E225A85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FA86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 xml:space="preserve">Vodi obračun i isplatu putnih naloga i </w:t>
            </w:r>
            <w:proofErr w:type="spellStart"/>
            <w:r w:rsidRPr="00EB1995">
              <w:rPr>
                <w:sz w:val="22"/>
                <w:szCs w:val="22"/>
              </w:rPr>
              <w:t>loko</w:t>
            </w:r>
            <w:proofErr w:type="spellEnd"/>
            <w:r w:rsidRPr="00EB1995">
              <w:rPr>
                <w:sz w:val="22"/>
                <w:szCs w:val="22"/>
              </w:rPr>
              <w:t xml:space="preserve"> vožnje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8C11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10</w:t>
            </w:r>
          </w:p>
        </w:tc>
      </w:tr>
      <w:tr w:rsidR="00EB1995" w:rsidRPr="00EB1995" w14:paraId="503217FB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5AD5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 xml:space="preserve">Vodi financijske evidencije i knjigovodstvene evidencije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9844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10</w:t>
            </w:r>
          </w:p>
        </w:tc>
      </w:tr>
      <w:tr w:rsidR="00EB1995" w:rsidRPr="00EB1995" w14:paraId="36642D25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E9A0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Vodi brigu o pravovremenom plaćanju općinskih financijskih obveza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791E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10</w:t>
            </w:r>
          </w:p>
        </w:tc>
      </w:tr>
      <w:tr w:rsidR="00EB1995" w:rsidRPr="00EB1995" w14:paraId="16F92017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B597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Izrađuje odluke i zaključke vezane uz isplate iz Proračuna Općine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30D4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10</w:t>
            </w:r>
          </w:p>
        </w:tc>
      </w:tr>
      <w:tr w:rsidR="00EB1995" w:rsidRPr="00EB1995" w14:paraId="55B6AC96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DB7C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Knjiži sve promjene u osnovnim sredstvima i sitnom inventaru, vrši obračun amortizacije istih te vodi zakonom propisane knjige i ostale evidencije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08AD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5</w:t>
            </w:r>
          </w:p>
        </w:tc>
      </w:tr>
      <w:tr w:rsidR="00EB1995" w:rsidRPr="00EB1995" w14:paraId="19EF5F5D" w14:textId="77777777" w:rsidTr="00EB19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EB3B" w14:textId="77777777" w:rsidR="00EB1995" w:rsidRPr="00EB1995" w:rsidRDefault="00EB1995" w:rsidP="003529A7">
            <w:pPr>
              <w:jc w:val="both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Obavlja i druge poslove iz djelokruga Upravnog odjela po nalogu pročelnika Jedinstvenog upravnog odjela, te sukladno smjernicama i uputama općinskog načelnika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020" w14:textId="77777777" w:rsidR="00EB1995" w:rsidRPr="00EB1995" w:rsidRDefault="00EB1995" w:rsidP="003529A7">
            <w:pPr>
              <w:jc w:val="center"/>
              <w:rPr>
                <w:sz w:val="22"/>
                <w:szCs w:val="22"/>
              </w:rPr>
            </w:pPr>
            <w:r w:rsidRPr="00EB1995">
              <w:rPr>
                <w:sz w:val="22"/>
                <w:szCs w:val="22"/>
              </w:rPr>
              <w:t>5</w:t>
            </w:r>
          </w:p>
        </w:tc>
      </w:tr>
    </w:tbl>
    <w:p w14:paraId="60359C8F" w14:textId="77777777" w:rsidR="00EB1995" w:rsidRDefault="00EB1995">
      <w:pPr>
        <w:rPr>
          <w:sz w:val="22"/>
          <w:szCs w:val="22"/>
        </w:rPr>
      </w:pPr>
    </w:p>
    <w:p w14:paraId="5C563EB6" w14:textId="141DE800" w:rsidR="006D751A" w:rsidRPr="00EB1995" w:rsidRDefault="00FF4E74" w:rsidP="00EB1995">
      <w:pPr>
        <w:rPr>
          <w:sz w:val="22"/>
          <w:szCs w:val="22"/>
        </w:rPr>
      </w:pPr>
      <w:r w:rsidRPr="00EB1995">
        <w:rPr>
          <w:rFonts w:eastAsia="Calibri"/>
          <w:b/>
          <w:bCs/>
          <w:sz w:val="22"/>
          <w:szCs w:val="22"/>
        </w:rPr>
        <w:t>PODACI O PLAĆI</w:t>
      </w:r>
    </w:p>
    <w:p w14:paraId="73B0B95C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u w:val="single"/>
        </w:rPr>
      </w:pPr>
    </w:p>
    <w:p w14:paraId="5DC3F82E" w14:textId="2924BBEA" w:rsidR="008B0E37" w:rsidRPr="00EB1995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Podaci o plaći radnog mjesta propisani su Odlukom o koeficijentima za obračun plaće službenika i namještenika u Jedinstvenom upravnom odjelu Općine Vidovec („Službeni vjesnik Varaždinske županije“</w:t>
      </w:r>
      <w:r w:rsidR="00DC5B4C" w:rsidRPr="00EB1995">
        <w:rPr>
          <w:rFonts w:eastAsia="Calibri"/>
          <w:sz w:val="22"/>
          <w:szCs w:val="22"/>
        </w:rPr>
        <w:t xml:space="preserve"> broj </w:t>
      </w:r>
      <w:r w:rsidR="00DB1010" w:rsidRPr="00EB1995">
        <w:rPr>
          <w:rFonts w:eastAsia="Calibri"/>
          <w:sz w:val="22"/>
          <w:szCs w:val="22"/>
        </w:rPr>
        <w:t>20</w:t>
      </w:r>
      <w:r w:rsidR="00DC5B4C" w:rsidRPr="00EB1995">
        <w:rPr>
          <w:rFonts w:eastAsia="Calibri"/>
          <w:sz w:val="22"/>
          <w:szCs w:val="22"/>
        </w:rPr>
        <w:t>/</w:t>
      </w:r>
      <w:r w:rsidR="00DB1010" w:rsidRPr="00EB1995">
        <w:rPr>
          <w:rFonts w:eastAsia="Calibri"/>
          <w:sz w:val="22"/>
          <w:szCs w:val="22"/>
        </w:rPr>
        <w:t>21</w:t>
      </w:r>
      <w:r w:rsidRPr="00EB1995">
        <w:rPr>
          <w:rFonts w:eastAsia="Calibri"/>
          <w:sz w:val="22"/>
          <w:szCs w:val="22"/>
        </w:rPr>
        <w:t xml:space="preserve">). </w:t>
      </w:r>
    </w:p>
    <w:p w14:paraId="4214DCFE" w14:textId="77777777" w:rsidR="008B0E37" w:rsidRPr="00EB1995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56EE5C6" w14:textId="73BC760B" w:rsidR="008B0E37" w:rsidRPr="00EB1995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Plaću </w:t>
      </w:r>
      <w:r w:rsidR="00C147E8" w:rsidRPr="00EB1995">
        <w:rPr>
          <w:rFonts w:eastAsia="Calibri"/>
          <w:sz w:val="22"/>
          <w:szCs w:val="22"/>
        </w:rPr>
        <w:t>službenika</w:t>
      </w:r>
      <w:r w:rsidR="009E6C72" w:rsidRPr="00EB1995">
        <w:rPr>
          <w:rFonts w:eastAsia="Calibri"/>
          <w:sz w:val="22"/>
          <w:szCs w:val="22"/>
        </w:rPr>
        <w:t xml:space="preserve">  čini  umnožak osnovice za </w:t>
      </w:r>
      <w:r w:rsidRPr="00EB1995">
        <w:rPr>
          <w:rFonts w:eastAsia="Calibri"/>
          <w:sz w:val="22"/>
          <w:szCs w:val="22"/>
        </w:rPr>
        <w:t xml:space="preserve">obračun plaća i </w:t>
      </w:r>
      <w:r w:rsidR="009E6C72" w:rsidRPr="00EB1995">
        <w:rPr>
          <w:rFonts w:eastAsia="Calibri"/>
          <w:sz w:val="22"/>
          <w:szCs w:val="22"/>
        </w:rPr>
        <w:t>koeficijenta složenosti poslova radnog mjesta, uvećan za 0,5% za svaku navršenu godinu radnog staža.</w:t>
      </w:r>
    </w:p>
    <w:p w14:paraId="7A71AD2D" w14:textId="512EA420" w:rsidR="008B0E37" w:rsidRPr="00EB1995" w:rsidRDefault="00DB1010" w:rsidP="009E6C72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Službenik</w:t>
      </w:r>
      <w:r w:rsidR="008B0E37" w:rsidRPr="00EB1995">
        <w:rPr>
          <w:rFonts w:eastAsia="Calibri"/>
          <w:sz w:val="22"/>
          <w:szCs w:val="22"/>
        </w:rPr>
        <w:t xml:space="preserve"> ostvaruje plaću prema slijedećim kriterijima: </w:t>
      </w:r>
    </w:p>
    <w:p w14:paraId="760D85CA" w14:textId="084BAD6D" w:rsidR="006D751A" w:rsidRPr="00EB1995" w:rsidRDefault="008B0E37" w:rsidP="008B0E37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sz w:val="22"/>
          <w:szCs w:val="22"/>
        </w:rPr>
        <w:t>koeficijent za obračun plaće iznosi 1,</w:t>
      </w:r>
      <w:r w:rsidR="00DB1010" w:rsidRPr="00EB1995">
        <w:rPr>
          <w:rFonts w:eastAsia="Calibri"/>
          <w:sz w:val="22"/>
          <w:szCs w:val="22"/>
        </w:rPr>
        <w:t>72</w:t>
      </w:r>
      <w:r w:rsidRPr="00EB1995">
        <w:rPr>
          <w:rFonts w:eastAsia="Calibri"/>
          <w:sz w:val="22"/>
          <w:szCs w:val="22"/>
        </w:rPr>
        <w:t xml:space="preserve"> uz osnovi</w:t>
      </w:r>
      <w:r w:rsidR="00DC5B4C" w:rsidRPr="00EB1995">
        <w:rPr>
          <w:rFonts w:eastAsia="Calibri"/>
          <w:sz w:val="22"/>
          <w:szCs w:val="22"/>
        </w:rPr>
        <w:t>cu plaće u bruto iznosu od 3.976,17</w:t>
      </w:r>
      <w:r w:rsidRPr="00EB1995">
        <w:rPr>
          <w:rFonts w:eastAsia="Calibri"/>
          <w:sz w:val="22"/>
          <w:szCs w:val="22"/>
        </w:rPr>
        <w:t xml:space="preserve"> kn.</w:t>
      </w:r>
    </w:p>
    <w:p w14:paraId="7FD28CB1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14:paraId="4B6C5B4F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b/>
          <w:bCs/>
          <w:sz w:val="22"/>
          <w:szCs w:val="22"/>
        </w:rPr>
        <w:t>UPUTE ZA PRIPREMANJE KANDIDATA ZA TESTIRANJE</w:t>
      </w:r>
    </w:p>
    <w:p w14:paraId="16F7CD07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14:paraId="2303444E" w14:textId="36F92663" w:rsidR="00DB1010" w:rsidRPr="00EB1995" w:rsidRDefault="006D751A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Provjera znanja i sposobnosti bitnih za obavljanje poslova radnog mjesta </w:t>
      </w:r>
      <w:r w:rsidR="00DB1010" w:rsidRPr="00EB1995">
        <w:rPr>
          <w:rFonts w:eastAsia="Calibri"/>
          <w:sz w:val="22"/>
          <w:szCs w:val="22"/>
        </w:rPr>
        <w:t xml:space="preserve">referenta za financijsko – računovodstvene poslove  </w:t>
      </w:r>
      <w:r w:rsidR="00DB1010" w:rsidRPr="00EB1995">
        <w:rPr>
          <w:rFonts w:eastAsia="Calibri"/>
          <w:sz w:val="22"/>
          <w:szCs w:val="22"/>
        </w:rPr>
        <w:t>provodi iz sljedećih pravnih izvora:</w:t>
      </w:r>
    </w:p>
    <w:p w14:paraId="4F6024C6" w14:textId="4439B85D" w:rsidR="00DB1010" w:rsidRPr="00EB1995" w:rsidRDefault="00DB1010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1.</w:t>
      </w:r>
      <w:r w:rsidR="00EB1995" w:rsidRPr="00EB1995">
        <w:rPr>
          <w:rFonts w:eastAsia="Calibri"/>
          <w:sz w:val="22"/>
          <w:szCs w:val="22"/>
        </w:rPr>
        <w:t xml:space="preserve"> </w:t>
      </w:r>
      <w:r w:rsidRPr="00EB1995">
        <w:rPr>
          <w:rFonts w:eastAsia="Calibri"/>
          <w:sz w:val="22"/>
          <w:szCs w:val="22"/>
        </w:rPr>
        <w:t xml:space="preserve">Zakon o lokalnoj i područnoj (regionalnoj) samoupravi („Narodne novine“, broj: 33/01, 60/01, 129/05, 109/07, 125/08, 36/09, 150/11, 144/12, 19/13, 137/15, 123/17, 98/19, 144/20), </w:t>
      </w:r>
    </w:p>
    <w:p w14:paraId="366FA1DD" w14:textId="13A37714" w:rsidR="00DB1010" w:rsidRPr="00EB1995" w:rsidRDefault="00DB1010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2.</w:t>
      </w:r>
      <w:r w:rsidR="00EB1995" w:rsidRPr="00EB1995">
        <w:rPr>
          <w:rFonts w:eastAsia="Calibri"/>
          <w:sz w:val="22"/>
          <w:szCs w:val="22"/>
        </w:rPr>
        <w:t xml:space="preserve"> </w:t>
      </w:r>
      <w:r w:rsidRPr="00EB1995">
        <w:rPr>
          <w:rFonts w:eastAsia="Calibri"/>
          <w:sz w:val="22"/>
          <w:szCs w:val="22"/>
        </w:rPr>
        <w:t>Zakon o proračunu („Narodne novine“, broj</w:t>
      </w:r>
      <w:r w:rsidR="00EB1995">
        <w:rPr>
          <w:rFonts w:eastAsia="Calibri"/>
          <w:sz w:val="22"/>
          <w:szCs w:val="22"/>
        </w:rPr>
        <w:t>:</w:t>
      </w:r>
      <w:r w:rsidRPr="00EB1995">
        <w:rPr>
          <w:rFonts w:eastAsia="Calibri"/>
          <w:sz w:val="22"/>
          <w:szCs w:val="22"/>
        </w:rPr>
        <w:t xml:space="preserve"> 87/08, 136/12 i 15/15) </w:t>
      </w:r>
    </w:p>
    <w:p w14:paraId="73A15E45" w14:textId="011BEDAC" w:rsidR="00DB1010" w:rsidRPr="00EB1995" w:rsidRDefault="00DB1010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3.</w:t>
      </w:r>
      <w:r w:rsidR="00EB1995" w:rsidRPr="00EB1995">
        <w:rPr>
          <w:rFonts w:eastAsia="Calibri"/>
          <w:sz w:val="22"/>
          <w:szCs w:val="22"/>
        </w:rPr>
        <w:t xml:space="preserve"> </w:t>
      </w:r>
      <w:r w:rsidRPr="00EB1995">
        <w:rPr>
          <w:rFonts w:eastAsia="Calibri"/>
          <w:sz w:val="22"/>
          <w:szCs w:val="22"/>
        </w:rPr>
        <w:t>Pravilnik o proračunskom računovodstvu i računskom planu („Narodne novine“, broj</w:t>
      </w:r>
      <w:r w:rsidR="00EB1995">
        <w:rPr>
          <w:rFonts w:eastAsia="Calibri"/>
          <w:sz w:val="22"/>
          <w:szCs w:val="22"/>
        </w:rPr>
        <w:t>:</w:t>
      </w:r>
      <w:r w:rsidRPr="00EB1995">
        <w:rPr>
          <w:rFonts w:eastAsia="Calibri"/>
          <w:sz w:val="22"/>
          <w:szCs w:val="22"/>
        </w:rPr>
        <w:t xml:space="preserve"> 124/14) </w:t>
      </w:r>
    </w:p>
    <w:p w14:paraId="10AA65BF" w14:textId="1E1EDE24" w:rsidR="00DB1010" w:rsidRPr="00EB1995" w:rsidRDefault="00DB1010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4.</w:t>
      </w:r>
      <w:r w:rsidR="00EB1995" w:rsidRPr="00EB1995">
        <w:rPr>
          <w:rFonts w:eastAsia="Calibri"/>
          <w:sz w:val="22"/>
          <w:szCs w:val="22"/>
        </w:rPr>
        <w:t xml:space="preserve"> </w:t>
      </w:r>
      <w:r w:rsidRPr="00EB1995">
        <w:rPr>
          <w:rFonts w:eastAsia="Calibri"/>
          <w:sz w:val="22"/>
          <w:szCs w:val="22"/>
        </w:rPr>
        <w:t>Zakon o financiranju jedinica lokalne i područne (regionalne) samouprave („Narodne novine“, broj: 127/17 i 138/20)</w:t>
      </w:r>
    </w:p>
    <w:p w14:paraId="4C6D500F" w14:textId="694EEB3D" w:rsidR="00EB1995" w:rsidRPr="00EB1995" w:rsidRDefault="00EB1995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5. </w:t>
      </w:r>
      <w:r w:rsidRPr="00EB1995">
        <w:rPr>
          <w:rFonts w:eastAsia="Calibri"/>
          <w:sz w:val="22"/>
          <w:szCs w:val="22"/>
        </w:rPr>
        <w:t xml:space="preserve">Zakon o plaćama u lokalnoj i područnoj (regionalnoj) samoupravi </w:t>
      </w:r>
      <w:r>
        <w:rPr>
          <w:rFonts w:eastAsia="Calibri"/>
          <w:sz w:val="22"/>
          <w:szCs w:val="22"/>
        </w:rPr>
        <w:t>(„Narodne novine“ broj:</w:t>
      </w:r>
      <w:r w:rsidRPr="00EB1995">
        <w:rPr>
          <w:rFonts w:eastAsia="Calibri"/>
          <w:sz w:val="22"/>
          <w:szCs w:val="22"/>
        </w:rPr>
        <w:t xml:space="preserve"> 28/10)</w:t>
      </w:r>
    </w:p>
    <w:p w14:paraId="35271450" w14:textId="77777777" w:rsidR="00EB1995" w:rsidRDefault="00EB1995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</w:t>
      </w:r>
      <w:r w:rsidR="00DB1010" w:rsidRPr="00EB1995">
        <w:rPr>
          <w:rFonts w:eastAsia="Calibri"/>
          <w:sz w:val="22"/>
          <w:szCs w:val="22"/>
        </w:rPr>
        <w:t>.</w:t>
      </w:r>
      <w:r w:rsidRPr="00EB1995">
        <w:rPr>
          <w:rFonts w:eastAsia="Calibri"/>
          <w:sz w:val="22"/>
          <w:szCs w:val="22"/>
        </w:rPr>
        <w:t xml:space="preserve"> </w:t>
      </w:r>
      <w:r w:rsidR="00DB1010" w:rsidRPr="00EB1995">
        <w:rPr>
          <w:rFonts w:eastAsia="Calibri"/>
          <w:sz w:val="22"/>
          <w:szCs w:val="22"/>
        </w:rPr>
        <w:t>Zakon o službenicima i namještenicima u lokalnoj i područnoj (regionalnoj) samoupravi („Narodne novine“, broj: 86/08, 61/11 04/18, 112/19)</w:t>
      </w:r>
    </w:p>
    <w:p w14:paraId="364021AF" w14:textId="4FEC3E83" w:rsidR="00EB1995" w:rsidRPr="00EB1995" w:rsidRDefault="00EB1995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DB1010" w:rsidRPr="00EB1995">
        <w:rPr>
          <w:rFonts w:eastAsia="Calibri"/>
          <w:sz w:val="22"/>
          <w:szCs w:val="22"/>
        </w:rPr>
        <w:t>.</w:t>
      </w:r>
      <w:r w:rsidRPr="00EB1995">
        <w:rPr>
          <w:rFonts w:eastAsia="Calibri"/>
          <w:sz w:val="22"/>
          <w:szCs w:val="22"/>
        </w:rPr>
        <w:t xml:space="preserve"> </w:t>
      </w:r>
      <w:r w:rsidR="00DB1010" w:rsidRPr="00EB1995">
        <w:rPr>
          <w:rFonts w:eastAsia="Calibri"/>
          <w:sz w:val="22"/>
          <w:szCs w:val="22"/>
        </w:rPr>
        <w:t xml:space="preserve">Statut </w:t>
      </w:r>
      <w:r w:rsidRPr="00EB1995">
        <w:rPr>
          <w:rFonts w:eastAsia="Calibri"/>
          <w:sz w:val="22"/>
          <w:szCs w:val="22"/>
        </w:rPr>
        <w:t>Općine Vidovec</w:t>
      </w:r>
      <w:r w:rsidR="00DB1010" w:rsidRPr="00EB1995">
        <w:rPr>
          <w:rFonts w:eastAsia="Calibri"/>
          <w:sz w:val="22"/>
          <w:szCs w:val="22"/>
        </w:rPr>
        <w:t xml:space="preserve"> („Službeni </w:t>
      </w:r>
      <w:r w:rsidRPr="00EB1995">
        <w:rPr>
          <w:rFonts w:eastAsia="Calibri"/>
          <w:sz w:val="22"/>
          <w:szCs w:val="22"/>
        </w:rPr>
        <w:t>vjesnik Varaždinske županije</w:t>
      </w:r>
      <w:r w:rsidR="00DB1010" w:rsidRPr="00EB1995">
        <w:rPr>
          <w:rFonts w:eastAsia="Calibri"/>
          <w:sz w:val="22"/>
          <w:szCs w:val="22"/>
        </w:rPr>
        <w:t>“, broj:</w:t>
      </w:r>
      <w:r w:rsidRPr="00EB1995">
        <w:rPr>
          <w:rFonts w:eastAsia="Calibri"/>
          <w:sz w:val="22"/>
          <w:szCs w:val="22"/>
        </w:rPr>
        <w:t xml:space="preserve"> 20/21</w:t>
      </w:r>
      <w:r w:rsidR="00DB1010" w:rsidRPr="00EB1995">
        <w:rPr>
          <w:rFonts w:eastAsia="Calibri"/>
          <w:sz w:val="22"/>
          <w:szCs w:val="22"/>
        </w:rPr>
        <w:t>)</w:t>
      </w:r>
    </w:p>
    <w:p w14:paraId="53A78CE8" w14:textId="77777777" w:rsidR="00EB1995" w:rsidRPr="00EB1995" w:rsidRDefault="00EB1995" w:rsidP="00DB101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314AAFF" w14:textId="52E91A6C" w:rsidR="006D751A" w:rsidRPr="00EB1995" w:rsidRDefault="006D751A" w:rsidP="00DB10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1995">
        <w:rPr>
          <w:sz w:val="22"/>
          <w:szCs w:val="22"/>
        </w:rPr>
        <w:t>Prethodnoj provjeri znanja i sposobnosti kandidata mogu pristupiti samo kandidati ko</w:t>
      </w:r>
      <w:r w:rsidR="008B0E37" w:rsidRPr="00EB1995">
        <w:rPr>
          <w:sz w:val="22"/>
          <w:szCs w:val="22"/>
        </w:rPr>
        <w:t>ji ispunjavaju formalne uvjete javnog n</w:t>
      </w:r>
      <w:r w:rsidRPr="00EB1995">
        <w:rPr>
          <w:sz w:val="22"/>
          <w:szCs w:val="22"/>
        </w:rPr>
        <w:t>atječaja.</w:t>
      </w:r>
    </w:p>
    <w:p w14:paraId="2BFCA808" w14:textId="77777777" w:rsidR="00EB1995" w:rsidRPr="00EB1995" w:rsidRDefault="00EB1995" w:rsidP="00EB199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3DD225BD" w14:textId="36350B3B" w:rsidR="00EB1995" w:rsidRPr="00EB1995" w:rsidRDefault="00EB1995" w:rsidP="00EB1995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b/>
          <w:bCs/>
          <w:sz w:val="22"/>
          <w:szCs w:val="22"/>
        </w:rPr>
        <w:t>Intervju:</w:t>
      </w:r>
    </w:p>
    <w:p w14:paraId="41FE8D17" w14:textId="77777777" w:rsidR="00EB1995" w:rsidRPr="00EB1995" w:rsidRDefault="00EB1995" w:rsidP="00EB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Intervju (razgovor) se provodi samo sa kandidatima koji su ostvarili najmanje 50% ukupnog broja bodova na pisanom testiranju.</w:t>
      </w:r>
    </w:p>
    <w:p w14:paraId="5D77857E" w14:textId="77777777" w:rsidR="00EB1995" w:rsidRPr="00EB1995" w:rsidRDefault="00EB1995" w:rsidP="00EB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D492051" w14:textId="172FD769" w:rsidR="00EB1995" w:rsidRPr="00EB1995" w:rsidRDefault="00EB1995" w:rsidP="00EB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Povjerenstvo za provedbu natječaja kroz razgovor utvrđuje interese, ciljeve i motivaciju za rad. </w:t>
      </w:r>
    </w:p>
    <w:p w14:paraId="21678DD8" w14:textId="77777777" w:rsidR="00EB1995" w:rsidRPr="00EB1995" w:rsidRDefault="00EB1995" w:rsidP="00EB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D5721DC" w14:textId="42BAE6AA" w:rsidR="00EB1995" w:rsidRPr="00EB1995" w:rsidRDefault="00EB1995" w:rsidP="00EB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Kandidat može na intervjuu ostvariti do 10 bodova.</w:t>
      </w:r>
    </w:p>
    <w:p w14:paraId="44AA79C7" w14:textId="77777777" w:rsidR="006D751A" w:rsidRPr="00EB1995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b/>
          <w:bCs/>
          <w:sz w:val="22"/>
          <w:szCs w:val="22"/>
        </w:rPr>
        <w:t>****</w:t>
      </w:r>
    </w:p>
    <w:p w14:paraId="5B0E8E06" w14:textId="77777777" w:rsidR="006D751A" w:rsidRPr="00EB1995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b/>
          <w:bCs/>
          <w:sz w:val="22"/>
          <w:szCs w:val="22"/>
        </w:rPr>
        <w:t>PRAVILA I POSTUPAK TESTIRANJA</w:t>
      </w:r>
    </w:p>
    <w:p w14:paraId="586B6800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14:paraId="2B81B074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Po dolasku na provjeru znanja, od kandidata će biti zatraženo predočavanje odgovarajuće identifikacijske isprave radi utvrđivanja identiteta. Kandidati koji </w:t>
      </w:r>
      <w:r w:rsidR="008B0E37" w:rsidRPr="00EB1995">
        <w:rPr>
          <w:rFonts w:eastAsia="Calibri"/>
          <w:sz w:val="22"/>
          <w:szCs w:val="22"/>
        </w:rPr>
        <w:t xml:space="preserve">ne mogu dokazati identitet neće </w:t>
      </w:r>
      <w:r w:rsidRPr="00EB1995">
        <w:rPr>
          <w:rFonts w:eastAsia="Calibri"/>
          <w:sz w:val="22"/>
          <w:szCs w:val="22"/>
        </w:rPr>
        <w:t>moći pristupiti testiranju. Za kandidata koji ne pristupi testiranju smatrat</w:t>
      </w:r>
      <w:r w:rsidR="008B0E37" w:rsidRPr="00EB1995">
        <w:rPr>
          <w:rFonts w:eastAsia="Calibri"/>
          <w:sz w:val="22"/>
          <w:szCs w:val="22"/>
        </w:rPr>
        <w:t>i</w:t>
      </w:r>
      <w:r w:rsidRPr="00EB1995">
        <w:rPr>
          <w:rFonts w:eastAsia="Calibri"/>
          <w:sz w:val="22"/>
          <w:szCs w:val="22"/>
        </w:rPr>
        <w:t xml:space="preserve"> </w:t>
      </w:r>
      <w:r w:rsidR="008B0E37" w:rsidRPr="00EB1995">
        <w:rPr>
          <w:rFonts w:eastAsia="Calibri"/>
          <w:sz w:val="22"/>
          <w:szCs w:val="22"/>
        </w:rPr>
        <w:t>će se da je povukao prijavu na n</w:t>
      </w:r>
      <w:r w:rsidRPr="00EB1995">
        <w:rPr>
          <w:rFonts w:eastAsia="Calibri"/>
          <w:sz w:val="22"/>
          <w:szCs w:val="22"/>
        </w:rPr>
        <w:t>atječaj.</w:t>
      </w:r>
    </w:p>
    <w:p w14:paraId="295B0D8F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524025D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Po utvrđivanju identiteta, kandidati će pristupiti pisanoj provjeri znanja.</w:t>
      </w:r>
    </w:p>
    <w:p w14:paraId="717B7456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282AFD2E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Navedena provjera traje 60 minuta.</w:t>
      </w:r>
    </w:p>
    <w:p w14:paraId="143FA3F5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881A41A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Kandidati su dužni pridržavati se utvrđenog vremena i rasporeda testiranja.</w:t>
      </w:r>
    </w:p>
    <w:p w14:paraId="508158D4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0D399FA0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Za vrijeme provjere znanja i sposobnosti </w:t>
      </w:r>
      <w:r w:rsidRPr="00EB1995">
        <w:rPr>
          <w:rFonts w:eastAsia="Calibri"/>
          <w:b/>
          <w:bCs/>
          <w:sz w:val="22"/>
          <w:szCs w:val="22"/>
        </w:rPr>
        <w:t>nije dopušteno:</w:t>
      </w:r>
    </w:p>
    <w:p w14:paraId="76AD7219" w14:textId="77777777" w:rsidR="006D751A" w:rsidRPr="00EB1995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koristiti se bilo kakvom literaturom odnosno bilješkama;</w:t>
      </w:r>
    </w:p>
    <w:p w14:paraId="76FF1307" w14:textId="77777777" w:rsidR="006D751A" w:rsidRPr="00EB1995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koristiti mobitel ili druga komunikacijska sredstva;</w:t>
      </w:r>
    </w:p>
    <w:p w14:paraId="3289EDC1" w14:textId="77777777" w:rsidR="006D751A" w:rsidRPr="00EB1995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napuštati prostoriju u kojoj se odvija provjera;</w:t>
      </w:r>
    </w:p>
    <w:p w14:paraId="7072C27A" w14:textId="77777777" w:rsidR="006D751A" w:rsidRPr="00EB1995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razgovarati s ostalim kandidatima;</w:t>
      </w:r>
    </w:p>
    <w:p w14:paraId="7D9BB974" w14:textId="77777777" w:rsidR="006D751A" w:rsidRPr="00EB1995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na bilo koji drugi način ometati koncentraciju ostalih kandidata.</w:t>
      </w:r>
    </w:p>
    <w:p w14:paraId="5A269026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474E922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Kandidati koji će se ponašati neprimjereno ili će prekršiti jedno od gore navedenih pravila biti će udaljeni s testiranja, a njihov rezultat </w:t>
      </w:r>
      <w:r w:rsidR="008B0E37" w:rsidRPr="00EB1995">
        <w:rPr>
          <w:rFonts w:eastAsia="Calibri"/>
          <w:sz w:val="22"/>
          <w:szCs w:val="22"/>
        </w:rPr>
        <w:t>i rad Povjerenstvo za provedbu n</w:t>
      </w:r>
      <w:r w:rsidRPr="00EB1995">
        <w:rPr>
          <w:rFonts w:eastAsia="Calibri"/>
          <w:sz w:val="22"/>
          <w:szCs w:val="22"/>
        </w:rPr>
        <w:t>atječaja neće bodovati.</w:t>
      </w:r>
    </w:p>
    <w:p w14:paraId="64208355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E5B46BE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Prethodna provjera znanja i sposobnosti kandidata sastoji se od pisanog testiranja i intervjua.</w:t>
      </w:r>
    </w:p>
    <w:p w14:paraId="1EB5D253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 xml:space="preserve">Za svaki dio provjere znanja dodjeljuje se od 1 do 10 bodova. </w:t>
      </w:r>
    </w:p>
    <w:p w14:paraId="405271D3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Intervju se provodi samo s kandidatima koji su ostvarili najmanje 50% bodova iz svakog dijela provjere znanja i sposobnosti.</w:t>
      </w:r>
    </w:p>
    <w:p w14:paraId="35E583EB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4102A729" w14:textId="77777777" w:rsidR="006D751A" w:rsidRPr="00EB1995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Povjerenstvo za provedbu n</w:t>
      </w:r>
      <w:r w:rsidR="006D751A" w:rsidRPr="00EB1995">
        <w:rPr>
          <w:rFonts w:eastAsia="Calibri"/>
          <w:sz w:val="22"/>
          <w:szCs w:val="22"/>
        </w:rPr>
        <w:t>atječaja kroz intervju s kandidatima utvrđuje interese, profesionalne ciljeve i motivaciju istih za rad u jedinici područne (regionalne) samouprave.</w:t>
      </w:r>
    </w:p>
    <w:p w14:paraId="1DD3B31A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Rezultati intervjua boduju se na isti način kao pisano testiranje.</w:t>
      </w:r>
    </w:p>
    <w:p w14:paraId="5D8AB2CD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Kandidati koji su pristupili testiranju imaju pravo uvida u rezultate provedenog postupka.</w:t>
      </w:r>
    </w:p>
    <w:p w14:paraId="2CFA51D1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1A21959F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Nakon provedenog testiranja i intervjua Povjerenstvo za</w:t>
      </w:r>
      <w:r w:rsidR="008B0E37" w:rsidRPr="00EB1995">
        <w:rPr>
          <w:rFonts w:eastAsia="Calibri"/>
          <w:sz w:val="22"/>
          <w:szCs w:val="22"/>
        </w:rPr>
        <w:t xml:space="preserve"> provedbu n</w:t>
      </w:r>
      <w:r w:rsidRPr="00EB1995">
        <w:rPr>
          <w:rFonts w:eastAsia="Calibri"/>
          <w:sz w:val="22"/>
          <w:szCs w:val="22"/>
        </w:rPr>
        <w:t>atječaja utvrđuje rang-listu kandidata prema ukupnom broju bodova ostvarenih na testiranju i intervjuu.</w:t>
      </w:r>
    </w:p>
    <w:p w14:paraId="1575AE4F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EACD35B" w14:textId="77777777" w:rsidR="006D751A" w:rsidRPr="00EB1995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Povjerenstvo za provedbu natječaja dostavlja pročelnici</w:t>
      </w:r>
      <w:r w:rsidR="006D751A" w:rsidRPr="00EB1995">
        <w:rPr>
          <w:rFonts w:eastAsia="Calibri"/>
          <w:sz w:val="22"/>
          <w:szCs w:val="22"/>
        </w:rPr>
        <w:t xml:space="preserve"> Izvješće o provedenom postupku, koje pot</w:t>
      </w:r>
      <w:r w:rsidRPr="00EB1995">
        <w:rPr>
          <w:rFonts w:eastAsia="Calibri"/>
          <w:sz w:val="22"/>
          <w:szCs w:val="22"/>
        </w:rPr>
        <w:t>pisuju svi članovi Povjerenstva.</w:t>
      </w:r>
    </w:p>
    <w:p w14:paraId="27352EEA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3E558D37" w14:textId="77777777" w:rsidR="006D751A" w:rsidRPr="00EB1995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t>Pročelnica</w:t>
      </w:r>
      <w:r w:rsidR="006D751A" w:rsidRPr="00EB1995">
        <w:rPr>
          <w:rFonts w:eastAsia="Calibri"/>
          <w:sz w:val="22"/>
          <w:szCs w:val="22"/>
        </w:rPr>
        <w:t xml:space="preserve"> donosi rješenje o prijmu izabranog kandidata, koje će biti dostavljeno svim kandidatima ko</w:t>
      </w:r>
      <w:r w:rsidRPr="00EB1995">
        <w:rPr>
          <w:rFonts w:eastAsia="Calibri"/>
          <w:sz w:val="22"/>
          <w:szCs w:val="22"/>
        </w:rPr>
        <w:t>ji ispunjavaju formalne uvjete n</w:t>
      </w:r>
      <w:r w:rsidR="006D751A" w:rsidRPr="00EB1995">
        <w:rPr>
          <w:rFonts w:eastAsia="Calibri"/>
          <w:sz w:val="22"/>
          <w:szCs w:val="22"/>
        </w:rPr>
        <w:t>atječaja.</w:t>
      </w:r>
    </w:p>
    <w:p w14:paraId="73175862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EB1995">
        <w:rPr>
          <w:rFonts w:eastAsia="Calibri"/>
          <w:sz w:val="22"/>
          <w:szCs w:val="22"/>
        </w:rPr>
        <w:lastRenderedPageBreak/>
        <w:t>Kandidat koji nije zadovoljan rješenjem o prijmu izabranog kandidata može podnijeti žalbu načelniku Op</w:t>
      </w:r>
      <w:r w:rsidR="008B0E37" w:rsidRPr="00EB1995">
        <w:rPr>
          <w:rFonts w:eastAsia="Calibri"/>
          <w:sz w:val="22"/>
          <w:szCs w:val="22"/>
        </w:rPr>
        <w:t>ćine Vidovec</w:t>
      </w:r>
      <w:r w:rsidRPr="00EB1995">
        <w:rPr>
          <w:rFonts w:eastAsia="Calibri"/>
          <w:sz w:val="22"/>
          <w:szCs w:val="22"/>
        </w:rPr>
        <w:t xml:space="preserve"> u roku od 15 dana od dana dostave rješenja.</w:t>
      </w:r>
    </w:p>
    <w:p w14:paraId="61A6ACE6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243D2CA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b/>
          <w:bCs/>
          <w:sz w:val="22"/>
          <w:szCs w:val="22"/>
        </w:rPr>
        <w:t>POZIV ZA TESTIRANJE BITI ĆE OBJAVLJEN, NAJMANJE 5 DANA PR</w:t>
      </w:r>
      <w:r w:rsidR="008B0E37" w:rsidRPr="00EB1995">
        <w:rPr>
          <w:rFonts w:eastAsia="Calibri"/>
          <w:b/>
          <w:bCs/>
          <w:sz w:val="22"/>
          <w:szCs w:val="22"/>
        </w:rPr>
        <w:t xml:space="preserve">IJE TESTIRANJA, NA WEB STRANICI </w:t>
      </w:r>
      <w:hyperlink r:id="rId6" w:history="1">
        <w:r w:rsidR="008B0E37" w:rsidRPr="00EB1995">
          <w:rPr>
            <w:rStyle w:val="Hiperveza"/>
            <w:rFonts w:eastAsia="Calibri"/>
            <w:b/>
            <w:bCs/>
            <w:color w:val="auto"/>
            <w:sz w:val="22"/>
            <w:szCs w:val="22"/>
            <w:u w:val="none"/>
          </w:rPr>
          <w:t>WWW.VIDOVEC.HR</w:t>
        </w:r>
      </w:hyperlink>
      <w:r w:rsidR="008B0E37" w:rsidRPr="00EB1995">
        <w:rPr>
          <w:rFonts w:eastAsia="Calibri"/>
          <w:b/>
          <w:bCs/>
          <w:sz w:val="22"/>
          <w:szCs w:val="22"/>
        </w:rPr>
        <w:t xml:space="preserve"> I OGLASNOJ PLOČI OPĆINE VIDOVEC</w:t>
      </w:r>
      <w:r w:rsidRPr="00EB1995">
        <w:rPr>
          <w:rFonts w:eastAsia="Calibri"/>
          <w:b/>
          <w:bCs/>
          <w:sz w:val="22"/>
          <w:szCs w:val="22"/>
        </w:rPr>
        <w:t>.</w:t>
      </w:r>
    </w:p>
    <w:p w14:paraId="0EFA640E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14:paraId="36DD2A4E" w14:textId="77777777" w:rsidR="006D751A" w:rsidRPr="00EB1995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 w:rsidRPr="00EB1995">
        <w:rPr>
          <w:rFonts w:eastAsia="Calibri"/>
          <w:bCs/>
          <w:sz w:val="22"/>
          <w:szCs w:val="22"/>
        </w:rPr>
        <w:t xml:space="preserve">Za vrijeme boravka u prostorijama Općine </w:t>
      </w:r>
      <w:r w:rsidR="008B0E37" w:rsidRPr="00EB1995">
        <w:rPr>
          <w:rFonts w:eastAsia="Calibri"/>
          <w:bCs/>
          <w:sz w:val="22"/>
          <w:szCs w:val="22"/>
        </w:rPr>
        <w:t>Vidovec</w:t>
      </w:r>
      <w:r w:rsidRPr="00EB1995">
        <w:rPr>
          <w:rFonts w:eastAsia="Calibri"/>
          <w:bCs/>
          <w:sz w:val="22"/>
          <w:szCs w:val="22"/>
        </w:rPr>
        <w:t xml:space="preserve"> kandidati su dužni poštivati kućni red i postupati prema uputama službenih osoba.</w:t>
      </w:r>
    </w:p>
    <w:p w14:paraId="5DACB52C" w14:textId="77777777" w:rsidR="006D751A" w:rsidRPr="00EB1995" w:rsidRDefault="006D751A" w:rsidP="006D751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5AF33B9" w14:textId="77777777" w:rsidR="006D751A" w:rsidRPr="00EB1995" w:rsidRDefault="006D751A" w:rsidP="006D751A">
      <w:pPr>
        <w:spacing w:after="200" w:line="276" w:lineRule="auto"/>
        <w:jc w:val="both"/>
        <w:rPr>
          <w:rFonts w:eastAsia="Calibri"/>
          <w:b/>
          <w:bCs/>
          <w:sz w:val="22"/>
          <w:szCs w:val="22"/>
        </w:rPr>
      </w:pP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sz w:val="22"/>
          <w:szCs w:val="22"/>
          <w:lang w:eastAsia="en-US"/>
        </w:rPr>
        <w:tab/>
      </w:r>
      <w:r w:rsidRPr="00EB1995">
        <w:rPr>
          <w:rFonts w:eastAsia="Calibri"/>
          <w:b/>
          <w:bCs/>
          <w:sz w:val="22"/>
          <w:szCs w:val="22"/>
        </w:rPr>
        <w:t xml:space="preserve">Općina </w:t>
      </w:r>
      <w:r w:rsidR="008B0E37" w:rsidRPr="00EB1995">
        <w:rPr>
          <w:rFonts w:eastAsia="Calibri"/>
          <w:b/>
          <w:bCs/>
          <w:sz w:val="22"/>
          <w:szCs w:val="22"/>
        </w:rPr>
        <w:t>Vidovec</w:t>
      </w:r>
    </w:p>
    <w:p w14:paraId="6D6018C5" w14:textId="77777777" w:rsidR="006D751A" w:rsidRPr="00EB1995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</w:p>
    <w:p w14:paraId="1AA3323B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1A"/>
    <w:rsid w:val="00221A59"/>
    <w:rsid w:val="00342EF6"/>
    <w:rsid w:val="00596216"/>
    <w:rsid w:val="006D751A"/>
    <w:rsid w:val="008B0E37"/>
    <w:rsid w:val="009609F7"/>
    <w:rsid w:val="009D3197"/>
    <w:rsid w:val="009E6C72"/>
    <w:rsid w:val="00A0265F"/>
    <w:rsid w:val="00C147E8"/>
    <w:rsid w:val="00DB1010"/>
    <w:rsid w:val="00DC5B4C"/>
    <w:rsid w:val="00EB1995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AA42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458-6D4E-4EB8-AC75-140271D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3</cp:revision>
  <cp:lastPrinted>2021-06-10T10:22:00Z</cp:lastPrinted>
  <dcterms:created xsi:type="dcterms:W3CDTF">2021-06-10T10:31:00Z</dcterms:created>
  <dcterms:modified xsi:type="dcterms:W3CDTF">2021-06-10T10:33:00Z</dcterms:modified>
</cp:coreProperties>
</file>