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76DC" w14:textId="73787A00" w:rsidR="00FF4E74" w:rsidRPr="00277652" w:rsidRDefault="00277652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277652">
        <w:rPr>
          <w:rFonts w:eastAsia="Calibri"/>
          <w:b/>
          <w:bCs/>
          <w:sz w:val="22"/>
          <w:szCs w:val="22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786FBB5F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71742977" w14:textId="77777777" w:rsidR="00223CBF" w:rsidRPr="00851A0B" w:rsidRDefault="00223CBF" w:rsidP="00223CB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851A0B">
        <w:rPr>
          <w:rFonts w:eastAsia="Calibri"/>
          <w:b/>
          <w:sz w:val="22"/>
          <w:szCs w:val="22"/>
        </w:rPr>
        <w:t xml:space="preserve">za  prijam u službu na određeno vrijeme radi zamjene duže vrijeme odsutne službenice odnosno do povratka službenice s </w:t>
      </w:r>
      <w:proofErr w:type="spellStart"/>
      <w:r w:rsidRPr="00851A0B">
        <w:rPr>
          <w:rFonts w:eastAsia="Calibri"/>
          <w:b/>
          <w:sz w:val="22"/>
          <w:szCs w:val="22"/>
        </w:rPr>
        <w:t>rodiljnog</w:t>
      </w:r>
      <w:proofErr w:type="spellEnd"/>
      <w:r w:rsidRPr="00851A0B">
        <w:rPr>
          <w:rFonts w:eastAsia="Calibri"/>
          <w:b/>
          <w:sz w:val="22"/>
          <w:szCs w:val="22"/>
        </w:rPr>
        <w:t xml:space="preserve"> i/ili roditeljskog dopusta u</w:t>
      </w:r>
    </w:p>
    <w:p w14:paraId="1067A11C" w14:textId="77777777" w:rsidR="00FF4E74" w:rsidRPr="00851A0B" w:rsidRDefault="00223CBF" w:rsidP="004735E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val="en-US"/>
        </w:rPr>
      </w:pPr>
      <w:r w:rsidRPr="00851A0B">
        <w:rPr>
          <w:rFonts w:eastAsia="Calibri"/>
          <w:b/>
          <w:sz w:val="22"/>
          <w:szCs w:val="22"/>
        </w:rPr>
        <w:t>Jedinstveni upravni odjel Op</w:t>
      </w:r>
      <w:r w:rsidRPr="00851A0B">
        <w:rPr>
          <w:rFonts w:eastAsia="Calibri" w:hint="eastAsia"/>
          <w:b/>
          <w:sz w:val="22"/>
          <w:szCs w:val="22"/>
        </w:rPr>
        <w:t>ć</w:t>
      </w:r>
      <w:r w:rsidRPr="00851A0B">
        <w:rPr>
          <w:rFonts w:eastAsia="Calibri"/>
          <w:b/>
          <w:sz w:val="22"/>
          <w:szCs w:val="22"/>
        </w:rPr>
        <w:t>ine Vidovec</w:t>
      </w:r>
    </w:p>
    <w:p w14:paraId="729C71C8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76C5F1DA" w14:textId="4A0E6759" w:rsidR="006D751A" w:rsidRPr="009E6C72" w:rsidRDefault="005202D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temelju članka 29. </w:t>
      </w:r>
      <w:r w:rsidR="006D751A" w:rsidRPr="009D3197">
        <w:rPr>
          <w:rFonts w:eastAsia="Calibri"/>
          <w:sz w:val="22"/>
          <w:szCs w:val="22"/>
        </w:rPr>
        <w:t>Zakona o službenicima i namještenicima u lokalnoj i područnoj (regionalnoj) samoupravi („Narodne novine“, broj 86/08, 61/11</w:t>
      </w:r>
      <w:r w:rsidR="00510BD2">
        <w:rPr>
          <w:rFonts w:eastAsia="Calibri"/>
          <w:sz w:val="22"/>
          <w:szCs w:val="22"/>
        </w:rPr>
        <w:t>,</w:t>
      </w:r>
      <w:r w:rsidR="006D751A" w:rsidRPr="009D3197">
        <w:rPr>
          <w:rFonts w:eastAsia="Calibri"/>
          <w:sz w:val="22"/>
          <w:szCs w:val="22"/>
        </w:rPr>
        <w:t xml:space="preserve"> 04/18</w:t>
      </w:r>
      <w:r w:rsidR="00510BD2">
        <w:rPr>
          <w:rFonts w:eastAsia="Calibri"/>
          <w:sz w:val="22"/>
          <w:szCs w:val="22"/>
        </w:rPr>
        <w:t xml:space="preserve"> i 112/19</w:t>
      </w:r>
      <w:r w:rsidR="009E6C72">
        <w:rPr>
          <w:rFonts w:eastAsia="Calibri"/>
          <w:sz w:val="22"/>
          <w:szCs w:val="22"/>
        </w:rPr>
        <w:t xml:space="preserve">),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 w:rsidR="00223CBF">
        <w:rPr>
          <w:rFonts w:eastAsia="Calibri"/>
          <w:sz w:val="22"/>
          <w:szCs w:val="22"/>
        </w:rPr>
        <w:t xml:space="preserve">oglas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22DC1D20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15621E0" w14:textId="2D8573E9" w:rsidR="004735E1" w:rsidRDefault="00510BD2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viši </w:t>
      </w:r>
      <w:r w:rsidR="00277652">
        <w:rPr>
          <w:rFonts w:eastAsia="Calibri"/>
          <w:b/>
          <w:bCs/>
          <w:sz w:val="22"/>
          <w:szCs w:val="22"/>
        </w:rPr>
        <w:t xml:space="preserve">stručni </w:t>
      </w:r>
      <w:r w:rsidR="0013784C">
        <w:rPr>
          <w:rFonts w:eastAsia="Calibri"/>
          <w:b/>
          <w:bCs/>
          <w:sz w:val="22"/>
          <w:szCs w:val="22"/>
        </w:rPr>
        <w:t>suradnik</w:t>
      </w:r>
      <w:r w:rsidR="004735E1" w:rsidRPr="004735E1">
        <w:rPr>
          <w:rFonts w:eastAsia="Calibri"/>
          <w:b/>
          <w:bCs/>
          <w:sz w:val="22"/>
          <w:szCs w:val="22"/>
        </w:rPr>
        <w:t>/</w:t>
      </w:r>
      <w:r w:rsidR="00141444">
        <w:rPr>
          <w:rFonts w:eastAsia="Calibri"/>
          <w:b/>
          <w:bCs/>
          <w:sz w:val="22"/>
          <w:szCs w:val="22"/>
        </w:rPr>
        <w:t xml:space="preserve">viša </w:t>
      </w:r>
      <w:r w:rsidR="00277652">
        <w:rPr>
          <w:rFonts w:eastAsia="Calibri"/>
          <w:b/>
          <w:bCs/>
          <w:sz w:val="22"/>
          <w:szCs w:val="22"/>
        </w:rPr>
        <w:t xml:space="preserve">stručna </w:t>
      </w:r>
      <w:r w:rsidR="0013784C">
        <w:rPr>
          <w:rFonts w:eastAsia="Calibri"/>
          <w:b/>
          <w:bCs/>
          <w:sz w:val="22"/>
          <w:szCs w:val="22"/>
        </w:rPr>
        <w:t>suradnica</w:t>
      </w:r>
      <w:r>
        <w:rPr>
          <w:rFonts w:eastAsia="Calibri"/>
          <w:b/>
          <w:bCs/>
          <w:sz w:val="22"/>
          <w:szCs w:val="22"/>
        </w:rPr>
        <w:t xml:space="preserve"> za </w:t>
      </w:r>
      <w:r w:rsidR="0013784C">
        <w:rPr>
          <w:rFonts w:eastAsia="Calibri"/>
          <w:b/>
          <w:bCs/>
          <w:sz w:val="22"/>
          <w:szCs w:val="22"/>
        </w:rPr>
        <w:t>financije i proračun</w:t>
      </w:r>
    </w:p>
    <w:p w14:paraId="105E72A2" w14:textId="77777777"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 xml:space="preserve">– 1 </w:t>
      </w:r>
      <w:proofErr w:type="spellStart"/>
      <w:r w:rsidRPr="004735E1">
        <w:rPr>
          <w:rFonts w:eastAsia="Calibri"/>
          <w:b/>
          <w:bCs/>
          <w:sz w:val="22"/>
          <w:szCs w:val="22"/>
          <w:lang w:val="en-US"/>
        </w:rPr>
        <w:t>izvršitelj</w:t>
      </w:r>
      <w:proofErr w:type="spellEnd"/>
      <w:r w:rsidRPr="004735E1">
        <w:rPr>
          <w:rFonts w:eastAsia="Calibri"/>
          <w:b/>
          <w:bCs/>
          <w:sz w:val="22"/>
          <w:szCs w:val="22"/>
          <w:lang w:val="en-US"/>
        </w:rPr>
        <w:t>/ca</w:t>
      </w:r>
      <w:r w:rsidRPr="004735E1">
        <w:rPr>
          <w:rFonts w:eastAsia="Calibri"/>
          <w:b/>
          <w:bCs/>
          <w:sz w:val="22"/>
          <w:szCs w:val="22"/>
        </w:rPr>
        <w:t>, puno radno vrijeme, uz probni rad od dva (2</w:t>
      </w:r>
      <w:r>
        <w:rPr>
          <w:rFonts w:eastAsia="Calibri"/>
          <w:b/>
          <w:bCs/>
          <w:sz w:val="22"/>
          <w:szCs w:val="22"/>
        </w:rPr>
        <w:t>) mjeseca</w:t>
      </w:r>
    </w:p>
    <w:p w14:paraId="126065D4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72F399B" w14:textId="77777777" w:rsidR="006D751A" w:rsidRPr="00216CD1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16CD1"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216CD1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216CD1">
        <w:rPr>
          <w:rFonts w:eastAsia="Calibri"/>
          <w:sz w:val="22"/>
          <w:szCs w:val="22"/>
        </w:rPr>
        <w:t>(u daljnjem tekstu: kandidat u odgovarajućem padežu)</w:t>
      </w:r>
    </w:p>
    <w:p w14:paraId="09C19CA5" w14:textId="77777777" w:rsidR="006D751A" w:rsidRPr="00216CD1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6D9EDE87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 xml:space="preserve">Osnovni podaci o radnom mjestu: </w:t>
      </w:r>
    </w:p>
    <w:p w14:paraId="02CBDF73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</w:p>
    <w:p w14:paraId="624802BC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Kategorija:</w:t>
      </w:r>
      <w:r w:rsidRPr="00216CD1">
        <w:rPr>
          <w:b/>
          <w:sz w:val="22"/>
          <w:szCs w:val="22"/>
        </w:rPr>
        <w:tab/>
        <w:t>II.</w:t>
      </w:r>
    </w:p>
    <w:p w14:paraId="7F9DDCD5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Potkategorija: Viši stručni suradnik</w:t>
      </w:r>
    </w:p>
    <w:p w14:paraId="662DD5DB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Klasifikacijski rang: 6</w:t>
      </w:r>
    </w:p>
    <w:p w14:paraId="077223C7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</w:p>
    <w:p w14:paraId="40D34E61" w14:textId="38B144DD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Naziv:</w:t>
      </w:r>
      <w:r w:rsidRPr="00216CD1">
        <w:rPr>
          <w:sz w:val="22"/>
          <w:szCs w:val="22"/>
        </w:rPr>
        <w:t xml:space="preserve"> </w:t>
      </w:r>
      <w:r w:rsidRPr="00216CD1">
        <w:rPr>
          <w:sz w:val="22"/>
          <w:szCs w:val="22"/>
        </w:rPr>
        <w:tab/>
      </w:r>
      <w:r w:rsidRPr="00216CD1">
        <w:rPr>
          <w:b/>
          <w:sz w:val="22"/>
          <w:szCs w:val="22"/>
        </w:rPr>
        <w:t xml:space="preserve">VIŠI STRUČNI SURADNIK </w:t>
      </w:r>
      <w:r w:rsidR="00277652">
        <w:rPr>
          <w:b/>
          <w:sz w:val="22"/>
          <w:szCs w:val="22"/>
        </w:rPr>
        <w:t xml:space="preserve">/ VIŠA STRUČNA SURADNICA </w:t>
      </w:r>
      <w:r w:rsidRPr="00216CD1">
        <w:rPr>
          <w:b/>
          <w:sz w:val="22"/>
          <w:szCs w:val="22"/>
        </w:rPr>
        <w:t>ZA FINANCIJE I PRORAČUN</w:t>
      </w:r>
    </w:p>
    <w:p w14:paraId="0572A4DA" w14:textId="77777777" w:rsidR="0013784C" w:rsidRPr="00216CD1" w:rsidRDefault="0013784C" w:rsidP="0013784C">
      <w:pPr>
        <w:jc w:val="both"/>
        <w:rPr>
          <w:sz w:val="22"/>
          <w:szCs w:val="22"/>
        </w:rPr>
      </w:pPr>
    </w:p>
    <w:p w14:paraId="1A2AE8DC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Potrebno stručno znanje:</w:t>
      </w:r>
    </w:p>
    <w:p w14:paraId="7B33F318" w14:textId="66574175" w:rsidR="0013784C" w:rsidRPr="00216CD1" w:rsidRDefault="0013784C" w:rsidP="0013784C">
      <w:pPr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 xml:space="preserve">                 </w:t>
      </w:r>
      <w:r w:rsidRPr="00216CD1">
        <w:rPr>
          <w:sz w:val="22"/>
          <w:szCs w:val="22"/>
        </w:rPr>
        <w:t xml:space="preserve"> -</w:t>
      </w:r>
      <w:r w:rsidRPr="00216CD1">
        <w:rPr>
          <w:b/>
          <w:sz w:val="22"/>
          <w:szCs w:val="22"/>
        </w:rPr>
        <w:t xml:space="preserve">     </w:t>
      </w:r>
      <w:r w:rsidR="00277652">
        <w:rPr>
          <w:b/>
          <w:sz w:val="22"/>
          <w:szCs w:val="22"/>
        </w:rPr>
        <w:t xml:space="preserve"> </w:t>
      </w:r>
      <w:r w:rsidRPr="00216CD1">
        <w:rPr>
          <w:bCs/>
          <w:sz w:val="22"/>
          <w:szCs w:val="22"/>
        </w:rPr>
        <w:t>magistar struke ili stručni specijalist ekonomske struke</w:t>
      </w:r>
    </w:p>
    <w:p w14:paraId="1301E23F" w14:textId="77777777" w:rsidR="0013784C" w:rsidRPr="00216CD1" w:rsidRDefault="0013784C" w:rsidP="0013784C">
      <w:pPr>
        <w:numPr>
          <w:ilvl w:val="0"/>
          <w:numId w:val="3"/>
        </w:numPr>
        <w:rPr>
          <w:bCs/>
          <w:sz w:val="22"/>
          <w:szCs w:val="22"/>
        </w:rPr>
      </w:pPr>
      <w:r w:rsidRPr="00216CD1">
        <w:rPr>
          <w:bCs/>
          <w:sz w:val="22"/>
          <w:szCs w:val="22"/>
        </w:rPr>
        <w:t>najmanje jedna godina radnog iskustva na odgovarajućim poslovima</w:t>
      </w:r>
    </w:p>
    <w:p w14:paraId="0E758548" w14:textId="77777777" w:rsidR="0013784C" w:rsidRPr="00216CD1" w:rsidRDefault="0013784C" w:rsidP="0013784C">
      <w:pPr>
        <w:numPr>
          <w:ilvl w:val="0"/>
          <w:numId w:val="3"/>
        </w:numPr>
        <w:rPr>
          <w:b/>
          <w:sz w:val="22"/>
          <w:szCs w:val="22"/>
        </w:rPr>
      </w:pPr>
      <w:r w:rsidRPr="00216CD1">
        <w:rPr>
          <w:bCs/>
          <w:sz w:val="22"/>
          <w:szCs w:val="22"/>
        </w:rPr>
        <w:t>organizacijske sposobnosti</w:t>
      </w:r>
    </w:p>
    <w:p w14:paraId="4D86C737" w14:textId="77777777" w:rsidR="0013784C" w:rsidRPr="00216CD1" w:rsidRDefault="0013784C" w:rsidP="0013784C">
      <w:pPr>
        <w:numPr>
          <w:ilvl w:val="0"/>
          <w:numId w:val="3"/>
        </w:numPr>
        <w:rPr>
          <w:b/>
          <w:sz w:val="22"/>
          <w:szCs w:val="22"/>
        </w:rPr>
      </w:pPr>
      <w:r w:rsidRPr="00216CD1">
        <w:rPr>
          <w:bCs/>
          <w:sz w:val="22"/>
          <w:szCs w:val="22"/>
        </w:rPr>
        <w:t>položen državni ispit</w:t>
      </w:r>
    </w:p>
    <w:p w14:paraId="46955B54" w14:textId="5159581C" w:rsidR="0013784C" w:rsidRPr="00216CD1" w:rsidRDefault="0013784C" w:rsidP="0013784C">
      <w:pPr>
        <w:numPr>
          <w:ilvl w:val="0"/>
          <w:numId w:val="3"/>
        </w:numPr>
        <w:rPr>
          <w:b/>
          <w:sz w:val="22"/>
          <w:szCs w:val="22"/>
        </w:rPr>
      </w:pPr>
      <w:r w:rsidRPr="00216CD1">
        <w:rPr>
          <w:bCs/>
          <w:sz w:val="22"/>
          <w:szCs w:val="22"/>
        </w:rPr>
        <w:t>poznavanje rada na računalu</w:t>
      </w:r>
    </w:p>
    <w:p w14:paraId="6B9615EB" w14:textId="77777777" w:rsidR="0013784C" w:rsidRPr="00216CD1" w:rsidRDefault="0013784C" w:rsidP="0013784C">
      <w:pPr>
        <w:ind w:left="1380"/>
        <w:rPr>
          <w:b/>
          <w:sz w:val="22"/>
          <w:szCs w:val="22"/>
        </w:rPr>
      </w:pPr>
    </w:p>
    <w:p w14:paraId="6ADD70E4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Složenost poslova:</w:t>
      </w:r>
    </w:p>
    <w:p w14:paraId="4C40D0B1" w14:textId="77777777" w:rsidR="0013784C" w:rsidRPr="00216CD1" w:rsidRDefault="0013784C" w:rsidP="0013784C">
      <w:pPr>
        <w:jc w:val="both"/>
        <w:rPr>
          <w:sz w:val="22"/>
          <w:szCs w:val="22"/>
        </w:rPr>
      </w:pPr>
      <w:r w:rsidRPr="00216CD1">
        <w:rPr>
          <w:b/>
          <w:sz w:val="22"/>
          <w:szCs w:val="22"/>
        </w:rPr>
        <w:tab/>
      </w:r>
      <w:r w:rsidRPr="00216CD1">
        <w:rPr>
          <w:sz w:val="22"/>
          <w:szCs w:val="22"/>
        </w:rPr>
        <w:t>- stupanj složenosti posla koji uključuje stalne složenije upravne i stručne poslove unutar upravnog tijela.</w:t>
      </w:r>
    </w:p>
    <w:p w14:paraId="6D92E57F" w14:textId="77777777" w:rsidR="0013784C" w:rsidRPr="00216CD1" w:rsidRDefault="0013784C" w:rsidP="0013784C">
      <w:pPr>
        <w:jc w:val="both"/>
        <w:rPr>
          <w:sz w:val="22"/>
          <w:szCs w:val="22"/>
        </w:rPr>
      </w:pPr>
    </w:p>
    <w:p w14:paraId="377B391D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Stupanj samostalnosti:</w:t>
      </w:r>
    </w:p>
    <w:p w14:paraId="0D4AF0AB" w14:textId="77777777" w:rsidR="0013784C" w:rsidRPr="00216CD1" w:rsidRDefault="0013784C" w:rsidP="0013784C">
      <w:pPr>
        <w:jc w:val="both"/>
        <w:rPr>
          <w:sz w:val="22"/>
          <w:szCs w:val="22"/>
        </w:rPr>
      </w:pPr>
      <w:r w:rsidRPr="00216CD1">
        <w:rPr>
          <w:sz w:val="22"/>
          <w:szCs w:val="22"/>
        </w:rPr>
        <w:tab/>
        <w:t>- stupanj samostalnosti koji uključuje obavljanje poslova uz redoviti nadzor i upute nadređenog službenika.</w:t>
      </w:r>
    </w:p>
    <w:p w14:paraId="0EFF8F84" w14:textId="77777777" w:rsidR="0013784C" w:rsidRPr="00216CD1" w:rsidRDefault="0013784C" w:rsidP="0013784C">
      <w:pPr>
        <w:jc w:val="both"/>
        <w:rPr>
          <w:sz w:val="22"/>
          <w:szCs w:val="22"/>
        </w:rPr>
      </w:pPr>
    </w:p>
    <w:p w14:paraId="7D3161B0" w14:textId="77777777" w:rsidR="0013784C" w:rsidRPr="00216CD1" w:rsidRDefault="0013784C" w:rsidP="0013784C">
      <w:pPr>
        <w:jc w:val="both"/>
        <w:rPr>
          <w:sz w:val="22"/>
          <w:szCs w:val="22"/>
        </w:rPr>
      </w:pPr>
      <w:r w:rsidRPr="00216CD1">
        <w:rPr>
          <w:b/>
          <w:sz w:val="22"/>
          <w:szCs w:val="22"/>
        </w:rPr>
        <w:t>Stupanj odgovornosti:</w:t>
      </w:r>
    </w:p>
    <w:p w14:paraId="6A7D999E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sz w:val="22"/>
          <w:szCs w:val="22"/>
        </w:rPr>
        <w:tab/>
        <w:t>- stupanj odgovornosti koji uključuje odgovornost za materijalne resurse s kojima službenik radi, te pravilnu primjenu utvrđenih postupaka i metoda rada</w:t>
      </w:r>
      <w:r w:rsidRPr="00216CD1">
        <w:rPr>
          <w:b/>
          <w:sz w:val="22"/>
          <w:szCs w:val="22"/>
        </w:rPr>
        <w:t>.</w:t>
      </w:r>
    </w:p>
    <w:p w14:paraId="6F7B25D3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</w:p>
    <w:p w14:paraId="62671147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t>Stupanj stručnih komunikacija:</w:t>
      </w:r>
    </w:p>
    <w:p w14:paraId="270EB3ED" w14:textId="77777777" w:rsidR="0013784C" w:rsidRPr="00216CD1" w:rsidRDefault="0013784C" w:rsidP="0013784C">
      <w:pPr>
        <w:jc w:val="both"/>
        <w:rPr>
          <w:sz w:val="22"/>
          <w:szCs w:val="22"/>
        </w:rPr>
      </w:pPr>
      <w:r w:rsidRPr="00216CD1">
        <w:rPr>
          <w:sz w:val="22"/>
          <w:szCs w:val="22"/>
        </w:rPr>
        <w:tab/>
      </w:r>
      <w:bookmarkStart w:id="0" w:name="_Hlk85802181"/>
      <w:r w:rsidRPr="00216CD1">
        <w:rPr>
          <w:sz w:val="22"/>
          <w:szCs w:val="22"/>
        </w:rPr>
        <w:t>- stupanj stručnih komunikacija koji uključuje komunikaciju unutar nižih unutarnjih ustrojstvenih jedinica te povremenu komunikaciju izvan državnog tijela u svrhu prikupljanja ili razmjene informacija.</w:t>
      </w:r>
    </w:p>
    <w:bookmarkEnd w:id="0"/>
    <w:p w14:paraId="7A194A7C" w14:textId="77777777" w:rsidR="0013784C" w:rsidRPr="00216CD1" w:rsidRDefault="0013784C" w:rsidP="0013784C">
      <w:pPr>
        <w:jc w:val="both"/>
        <w:rPr>
          <w:sz w:val="22"/>
          <w:szCs w:val="22"/>
        </w:rPr>
      </w:pPr>
    </w:p>
    <w:p w14:paraId="374B6A83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  <w:bookmarkStart w:id="1" w:name="_Hlk68765329"/>
      <w:r w:rsidRPr="00216CD1">
        <w:rPr>
          <w:b/>
          <w:sz w:val="22"/>
          <w:szCs w:val="22"/>
        </w:rPr>
        <w:t>Broj izvršitelja: 1</w:t>
      </w:r>
    </w:p>
    <w:bookmarkEnd w:id="1"/>
    <w:p w14:paraId="6341F9FB" w14:textId="77D3B9DA" w:rsidR="0013784C" w:rsidRPr="00216CD1" w:rsidRDefault="0013784C">
      <w:pPr>
        <w:spacing w:after="200" w:line="276" w:lineRule="auto"/>
        <w:rPr>
          <w:b/>
          <w:sz w:val="22"/>
          <w:szCs w:val="22"/>
        </w:rPr>
      </w:pPr>
      <w:r w:rsidRPr="00216CD1">
        <w:rPr>
          <w:b/>
          <w:sz w:val="22"/>
          <w:szCs w:val="22"/>
        </w:rPr>
        <w:br w:type="page"/>
      </w:r>
    </w:p>
    <w:p w14:paraId="108DC62D" w14:textId="77777777" w:rsidR="0013784C" w:rsidRPr="00216CD1" w:rsidRDefault="0013784C" w:rsidP="0013784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9"/>
        <w:gridCol w:w="2743"/>
      </w:tblGrid>
      <w:tr w:rsidR="0013784C" w:rsidRPr="00216CD1" w14:paraId="3A07A466" w14:textId="77777777" w:rsidTr="004638A9">
        <w:tc>
          <w:tcPr>
            <w:tcW w:w="6319" w:type="dxa"/>
            <w:shd w:val="clear" w:color="auto" w:fill="auto"/>
          </w:tcPr>
          <w:p w14:paraId="751FFC94" w14:textId="77777777" w:rsidR="0013784C" w:rsidRPr="00216CD1" w:rsidRDefault="0013784C" w:rsidP="004638A9">
            <w:pPr>
              <w:jc w:val="center"/>
              <w:rPr>
                <w:b/>
                <w:sz w:val="22"/>
                <w:szCs w:val="22"/>
              </w:rPr>
            </w:pPr>
          </w:p>
          <w:p w14:paraId="6729B745" w14:textId="77777777" w:rsidR="0013784C" w:rsidRPr="00216CD1" w:rsidRDefault="0013784C" w:rsidP="004638A9">
            <w:pPr>
              <w:jc w:val="center"/>
              <w:rPr>
                <w:b/>
                <w:sz w:val="22"/>
                <w:szCs w:val="22"/>
              </w:rPr>
            </w:pPr>
            <w:r w:rsidRPr="00216CD1">
              <w:rPr>
                <w:b/>
                <w:sz w:val="22"/>
                <w:szCs w:val="22"/>
              </w:rPr>
              <w:t>Poslovi radnog mjesta</w:t>
            </w:r>
          </w:p>
        </w:tc>
        <w:tc>
          <w:tcPr>
            <w:tcW w:w="2743" w:type="dxa"/>
            <w:shd w:val="clear" w:color="auto" w:fill="auto"/>
          </w:tcPr>
          <w:p w14:paraId="4668B57F" w14:textId="77777777" w:rsidR="0013784C" w:rsidRPr="00216CD1" w:rsidRDefault="0013784C" w:rsidP="004638A9">
            <w:pPr>
              <w:jc w:val="center"/>
              <w:rPr>
                <w:b/>
                <w:sz w:val="22"/>
                <w:szCs w:val="22"/>
              </w:rPr>
            </w:pPr>
            <w:r w:rsidRPr="00216CD1">
              <w:rPr>
                <w:b/>
                <w:sz w:val="22"/>
                <w:szCs w:val="22"/>
              </w:rPr>
              <w:t>Približan postotak vremena  potreban za obavljanje pojedinog posla</w:t>
            </w:r>
          </w:p>
        </w:tc>
      </w:tr>
      <w:tr w:rsidR="0013784C" w:rsidRPr="00216CD1" w14:paraId="3A5EAE56" w14:textId="77777777" w:rsidTr="004638A9">
        <w:tc>
          <w:tcPr>
            <w:tcW w:w="6319" w:type="dxa"/>
            <w:shd w:val="clear" w:color="auto" w:fill="auto"/>
          </w:tcPr>
          <w:p w14:paraId="523AC009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 xml:space="preserve">Izrađuje nacrt proračuna za proračunsku godinu i projekcije za slijedeće dvije godine, odluku o izvršavanju proračuna i pratećih planova i plan razvojnih programa, </w:t>
            </w:r>
          </w:p>
        </w:tc>
        <w:tc>
          <w:tcPr>
            <w:tcW w:w="2743" w:type="dxa"/>
            <w:shd w:val="clear" w:color="auto" w:fill="auto"/>
          </w:tcPr>
          <w:p w14:paraId="32E5F116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11695599" w14:textId="77777777" w:rsidTr="004638A9">
        <w:tc>
          <w:tcPr>
            <w:tcW w:w="6319" w:type="dxa"/>
            <w:shd w:val="clear" w:color="auto" w:fill="auto"/>
          </w:tcPr>
          <w:p w14:paraId="5D52EECF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Izrađuje polugodišnji i godišnji izvještaj o izvršenju proračuna, statističke izvještaje i izvješća o ostvarenju proračuna</w:t>
            </w:r>
          </w:p>
        </w:tc>
        <w:tc>
          <w:tcPr>
            <w:tcW w:w="2743" w:type="dxa"/>
            <w:shd w:val="clear" w:color="auto" w:fill="auto"/>
          </w:tcPr>
          <w:p w14:paraId="51A065AC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4CB80C7E" w14:textId="77777777" w:rsidTr="004638A9">
        <w:tc>
          <w:tcPr>
            <w:tcW w:w="6319" w:type="dxa"/>
            <w:shd w:val="clear" w:color="auto" w:fill="auto"/>
          </w:tcPr>
          <w:p w14:paraId="11058775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Sastavlja financijske izvještaje i konsolidirane financijske izvještaje</w:t>
            </w:r>
          </w:p>
          <w:p w14:paraId="1C2A41D0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u skladu s financijsko-računovodstvenim propisima</w:t>
            </w:r>
          </w:p>
        </w:tc>
        <w:tc>
          <w:tcPr>
            <w:tcW w:w="2743" w:type="dxa"/>
            <w:shd w:val="clear" w:color="auto" w:fill="auto"/>
          </w:tcPr>
          <w:p w14:paraId="1C2B85C8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72A9F6D4" w14:textId="77777777" w:rsidTr="004638A9">
        <w:tc>
          <w:tcPr>
            <w:tcW w:w="6319" w:type="dxa"/>
            <w:shd w:val="clear" w:color="auto" w:fill="auto"/>
          </w:tcPr>
          <w:p w14:paraId="4BC41883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Obavlja poslove praćenja izvršenja Proračuna Općine, (prati priliv sredstava u proračun kao i proračunsku potrošnju)</w:t>
            </w:r>
          </w:p>
        </w:tc>
        <w:tc>
          <w:tcPr>
            <w:tcW w:w="2743" w:type="dxa"/>
            <w:shd w:val="clear" w:color="auto" w:fill="auto"/>
          </w:tcPr>
          <w:p w14:paraId="3CED3228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51BE404E" w14:textId="77777777" w:rsidTr="004638A9">
        <w:tc>
          <w:tcPr>
            <w:tcW w:w="6319" w:type="dxa"/>
            <w:shd w:val="clear" w:color="auto" w:fill="auto"/>
          </w:tcPr>
          <w:p w14:paraId="7D6F1C19" w14:textId="77777777" w:rsidR="0013784C" w:rsidRPr="00216CD1" w:rsidRDefault="0013784C" w:rsidP="004638A9">
            <w:pPr>
              <w:jc w:val="both"/>
              <w:rPr>
                <w:b/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Temeljem smjernica izrađuje upute za izradu proračuna proračunskih korisnika</w:t>
            </w:r>
          </w:p>
        </w:tc>
        <w:tc>
          <w:tcPr>
            <w:tcW w:w="2743" w:type="dxa"/>
            <w:shd w:val="clear" w:color="auto" w:fill="auto"/>
          </w:tcPr>
          <w:p w14:paraId="2A95D94E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5</w:t>
            </w:r>
          </w:p>
        </w:tc>
      </w:tr>
      <w:tr w:rsidR="0013784C" w:rsidRPr="00216CD1" w14:paraId="68862BF0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C84E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 xml:space="preserve">Obavlja poslove plaćanja putem Internet bankarstva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1540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0DBAA428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8168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Vodi brigu o pravovremenoj naplati prihoda te predlaže otpise potraživanja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7035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5D667C13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5298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Prati i proučava propise iz svog područja djelovanja te predlaže pročelniku  poduzimanje mjera i donošenje akata iz svog djelokruga rada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76AC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5B562523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CBB4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Nadzire izvršenje financijskih obveza po ugovorima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9A52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10</w:t>
            </w:r>
          </w:p>
        </w:tc>
      </w:tr>
      <w:tr w:rsidR="0013784C" w:rsidRPr="00216CD1" w14:paraId="6A2949B7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9865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U slučaju odsustva pročelnika Jedinstvenog upravnog odjela obavlja i poslove utvrđene rednim brojem 1.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04A8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5</w:t>
            </w:r>
          </w:p>
        </w:tc>
      </w:tr>
      <w:tr w:rsidR="0013784C" w:rsidRPr="00216CD1" w14:paraId="173A54F2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E385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U slučaju odsustva referenta za financijsko - računovodstvene poslove obavlja i poslove utvrđene rednim brojem 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50B0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5</w:t>
            </w:r>
          </w:p>
        </w:tc>
      </w:tr>
      <w:tr w:rsidR="0013784C" w:rsidRPr="00216CD1" w14:paraId="6263D2B3" w14:textId="77777777" w:rsidTr="004638A9"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5B2" w14:textId="77777777" w:rsidR="0013784C" w:rsidRPr="00216CD1" w:rsidRDefault="0013784C" w:rsidP="004638A9">
            <w:pPr>
              <w:jc w:val="both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 xml:space="preserve">Obavlja i druge poslove iz djelokruga Jedinstvenog upravnog odjela po nalogu pročelnika Jedinstvenog upravnog odjela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6D4" w14:textId="77777777" w:rsidR="0013784C" w:rsidRPr="00216CD1" w:rsidRDefault="0013784C" w:rsidP="004638A9">
            <w:pPr>
              <w:jc w:val="center"/>
              <w:rPr>
                <w:sz w:val="22"/>
                <w:szCs w:val="22"/>
              </w:rPr>
            </w:pPr>
            <w:r w:rsidRPr="00216CD1">
              <w:rPr>
                <w:sz w:val="22"/>
                <w:szCs w:val="22"/>
              </w:rPr>
              <w:t>5</w:t>
            </w:r>
          </w:p>
        </w:tc>
      </w:tr>
    </w:tbl>
    <w:p w14:paraId="5E46C325" w14:textId="77777777" w:rsidR="00C54A71" w:rsidRPr="0013784C" w:rsidRDefault="00C54A71" w:rsidP="00C54A71"/>
    <w:p w14:paraId="5BB9595A" w14:textId="77777777" w:rsidR="006D751A" w:rsidRPr="0013784C" w:rsidRDefault="00FF4E74" w:rsidP="00C54A71">
      <w:r w:rsidRPr="0013784C">
        <w:rPr>
          <w:rFonts w:eastAsia="Calibri"/>
          <w:b/>
          <w:bCs/>
          <w:sz w:val="24"/>
          <w:szCs w:val="24"/>
        </w:rPr>
        <w:t>PODACI O PLAĆI</w:t>
      </w:r>
    </w:p>
    <w:p w14:paraId="70A5B5A6" w14:textId="77777777" w:rsidR="006D751A" w:rsidRPr="0013784C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203686FC" w14:textId="02AD6C10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13784C">
        <w:rPr>
          <w:rFonts w:eastAsia="Calibri"/>
          <w:sz w:val="24"/>
          <w:szCs w:val="24"/>
        </w:rPr>
        <w:t>Podaci o plaći radnog mjesta propisani su Odlukom o koeficijentima za obračun plaće</w:t>
      </w:r>
      <w:r w:rsidRPr="008B0E37">
        <w:rPr>
          <w:rFonts w:eastAsia="Calibri"/>
          <w:sz w:val="24"/>
          <w:szCs w:val="24"/>
        </w:rPr>
        <w:t xml:space="preserve">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510BD2">
        <w:rPr>
          <w:rFonts w:eastAsia="Calibri"/>
          <w:sz w:val="24"/>
          <w:szCs w:val="24"/>
        </w:rPr>
        <w:t>20/21, 8/22 i 24/22</w:t>
      </w:r>
      <w:r w:rsidRPr="008B0E37">
        <w:rPr>
          <w:rFonts w:eastAsia="Calibri"/>
          <w:sz w:val="24"/>
          <w:szCs w:val="24"/>
        </w:rPr>
        <w:t xml:space="preserve">.). </w:t>
      </w:r>
    </w:p>
    <w:p w14:paraId="66E537C1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98C886" w14:textId="5217434E" w:rsid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Plaću službenika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617DE898" w14:textId="77777777" w:rsidR="00510BD2" w:rsidRPr="008B0E37" w:rsidRDefault="00510BD2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A517540" w14:textId="2BCD560E" w:rsidR="008B0E37" w:rsidRPr="008B0E37" w:rsidRDefault="00C54A71" w:rsidP="00216CD1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Službenik </w:t>
      </w:r>
      <w:r w:rsidR="008B0E37" w:rsidRPr="008B0E37">
        <w:rPr>
          <w:rFonts w:eastAsia="Calibri"/>
          <w:sz w:val="24"/>
          <w:szCs w:val="24"/>
        </w:rPr>
        <w:t>ostvaruje plaću prema slijedećim kriterijima:</w:t>
      </w:r>
    </w:p>
    <w:p w14:paraId="620BF769" w14:textId="7EF1F207" w:rsidR="00C54A71" w:rsidRDefault="008B0E37" w:rsidP="0059339F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 xml:space="preserve">ent za obračun plaće iznosi </w:t>
      </w:r>
      <w:r w:rsidR="00510BD2">
        <w:rPr>
          <w:rFonts w:eastAsia="Calibri"/>
          <w:sz w:val="24"/>
          <w:szCs w:val="24"/>
        </w:rPr>
        <w:t>2,</w:t>
      </w:r>
      <w:r w:rsidR="00351331">
        <w:rPr>
          <w:rFonts w:eastAsia="Calibri"/>
          <w:sz w:val="24"/>
          <w:szCs w:val="24"/>
        </w:rPr>
        <w:t>17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>vicu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  <w:r w:rsidR="00C54A71">
        <w:rPr>
          <w:rFonts w:eastAsia="Calibri"/>
          <w:b/>
          <w:bCs/>
          <w:sz w:val="24"/>
          <w:szCs w:val="24"/>
        </w:rPr>
        <w:br w:type="page"/>
      </w:r>
    </w:p>
    <w:p w14:paraId="001F5BD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lastRenderedPageBreak/>
        <w:t>UPUTE ZA PRIPREMANJE KANDIDATA ZA TESTIRANJE</w:t>
      </w:r>
    </w:p>
    <w:p w14:paraId="4E13727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383CA80" w14:textId="77777777" w:rsidR="00216CD1" w:rsidRDefault="00216CD1" w:rsidP="005202D3">
      <w:pPr>
        <w:spacing w:line="276" w:lineRule="auto"/>
        <w:rPr>
          <w:b/>
          <w:bCs/>
          <w:sz w:val="24"/>
          <w:szCs w:val="24"/>
        </w:rPr>
      </w:pPr>
    </w:p>
    <w:p w14:paraId="3825478D" w14:textId="77777777" w:rsidR="00216CD1" w:rsidRPr="00216CD1" w:rsidRDefault="00216CD1" w:rsidP="00216CD1">
      <w:pPr>
        <w:spacing w:line="276" w:lineRule="auto"/>
        <w:rPr>
          <w:sz w:val="24"/>
          <w:szCs w:val="24"/>
        </w:rPr>
      </w:pPr>
      <w:r w:rsidRPr="00216CD1">
        <w:rPr>
          <w:sz w:val="24"/>
          <w:szCs w:val="24"/>
        </w:rPr>
        <w:t>PODRUČJE TESTIRANJA:</w:t>
      </w:r>
    </w:p>
    <w:p w14:paraId="0936C05F" w14:textId="77777777" w:rsidR="00216CD1" w:rsidRPr="00216CD1" w:rsidRDefault="00216CD1" w:rsidP="00216CD1">
      <w:pPr>
        <w:spacing w:line="276" w:lineRule="auto"/>
        <w:rPr>
          <w:sz w:val="24"/>
          <w:szCs w:val="24"/>
        </w:rPr>
      </w:pPr>
    </w:p>
    <w:p w14:paraId="6FB492C5" w14:textId="77777777" w:rsidR="00216CD1" w:rsidRPr="00E84244" w:rsidRDefault="00216CD1" w:rsidP="00216CD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Provjera znanja i sposobnosti bitnih za obavljanje poslova radnog mjesta</w:t>
      </w:r>
      <w:r>
        <w:rPr>
          <w:rFonts w:eastAsia="Calibri"/>
          <w:b/>
          <w:bCs/>
          <w:sz w:val="24"/>
          <w:szCs w:val="24"/>
        </w:rPr>
        <w:t xml:space="preserve"> viši stručni suradnik</w:t>
      </w:r>
      <w:r>
        <w:rPr>
          <w:rFonts w:eastAsia="Calibri"/>
          <w:b/>
          <w:sz w:val="24"/>
          <w:szCs w:val="24"/>
        </w:rPr>
        <w:t>/viša stručna suradnica za financije i proračun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</w:t>
      </w:r>
    </w:p>
    <w:p w14:paraId="32FDA9A2" w14:textId="77777777" w:rsidR="005202D3" w:rsidRDefault="005202D3" w:rsidP="005202D3">
      <w:pPr>
        <w:spacing w:line="276" w:lineRule="auto"/>
        <w:ind w:left="708"/>
        <w:rPr>
          <w:sz w:val="24"/>
          <w:szCs w:val="24"/>
        </w:rPr>
      </w:pPr>
    </w:p>
    <w:p w14:paraId="72D5A8BE" w14:textId="1979DA88" w:rsidR="00ED598C" w:rsidRDefault="00ED598C" w:rsidP="00ED598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D598C">
        <w:rPr>
          <w:sz w:val="24"/>
          <w:szCs w:val="24"/>
        </w:rPr>
        <w:t>Zakon o proračunu (</w:t>
      </w:r>
      <w:r w:rsidR="00216CD1">
        <w:rPr>
          <w:sz w:val="24"/>
          <w:szCs w:val="24"/>
        </w:rPr>
        <w:t>„</w:t>
      </w:r>
      <w:r w:rsidRPr="00ED598C">
        <w:rPr>
          <w:sz w:val="24"/>
          <w:szCs w:val="24"/>
        </w:rPr>
        <w:t>Narodne novine</w:t>
      </w:r>
      <w:r w:rsidR="00216CD1">
        <w:rPr>
          <w:sz w:val="24"/>
          <w:szCs w:val="24"/>
        </w:rPr>
        <w:t>“</w:t>
      </w:r>
      <w:r w:rsidRPr="00ED598C">
        <w:rPr>
          <w:sz w:val="24"/>
          <w:szCs w:val="24"/>
        </w:rPr>
        <w:t xml:space="preserve"> broj 144/21)</w:t>
      </w:r>
    </w:p>
    <w:p w14:paraId="311CC182" w14:textId="77777777" w:rsidR="00ED598C" w:rsidRPr="00ED598C" w:rsidRDefault="00ED598C" w:rsidP="00ED598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D598C">
        <w:rPr>
          <w:sz w:val="24"/>
          <w:szCs w:val="24"/>
        </w:rPr>
        <w:t>Pravilnik o proračunskom računovodstvu i računskom planu („Narodne novine“ broj</w:t>
      </w:r>
    </w:p>
    <w:p w14:paraId="38D0986F" w14:textId="6091A2EB" w:rsidR="00D7139B" w:rsidRPr="00D7139B" w:rsidRDefault="000E399D" w:rsidP="000E399D">
      <w:pPr>
        <w:spacing w:line="276" w:lineRule="auto"/>
        <w:ind w:left="720"/>
        <w:jc w:val="both"/>
        <w:rPr>
          <w:sz w:val="24"/>
          <w:szCs w:val="24"/>
        </w:rPr>
      </w:pPr>
      <w:r w:rsidRPr="000E399D">
        <w:rPr>
          <w:sz w:val="24"/>
          <w:szCs w:val="24"/>
        </w:rPr>
        <w:t>124/14, 115/15, 87/16, 3/18, 126/19 i 108/20</w:t>
      </w:r>
      <w:r w:rsidR="00ED598C" w:rsidRPr="00ED598C">
        <w:rPr>
          <w:sz w:val="24"/>
          <w:szCs w:val="24"/>
        </w:rPr>
        <w:t>)</w:t>
      </w:r>
    </w:p>
    <w:p w14:paraId="590CBF6A" w14:textId="4D875A79" w:rsidR="00D7139B" w:rsidRPr="00ED598C" w:rsidRDefault="00D7139B" w:rsidP="00D7139B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7139B">
        <w:rPr>
          <w:sz w:val="24"/>
          <w:szCs w:val="24"/>
        </w:rPr>
        <w:t>Pravilnik o financijskom izvještavanju u proračunskom računovodstvu (</w:t>
      </w:r>
      <w:r>
        <w:rPr>
          <w:sz w:val="24"/>
          <w:szCs w:val="24"/>
        </w:rPr>
        <w:t>„</w:t>
      </w:r>
      <w:r w:rsidRPr="00D7139B">
        <w:rPr>
          <w:sz w:val="24"/>
          <w:szCs w:val="24"/>
        </w:rPr>
        <w:t>Nar</w:t>
      </w:r>
      <w:r>
        <w:rPr>
          <w:sz w:val="24"/>
          <w:szCs w:val="24"/>
        </w:rPr>
        <w:t>odne</w:t>
      </w:r>
      <w:r w:rsidRPr="00D7139B">
        <w:rPr>
          <w:sz w:val="24"/>
          <w:szCs w:val="24"/>
        </w:rPr>
        <w:t xml:space="preserve"> nov</w:t>
      </w:r>
      <w:r>
        <w:rPr>
          <w:sz w:val="24"/>
          <w:szCs w:val="24"/>
        </w:rPr>
        <w:t>ine“</w:t>
      </w:r>
      <w:r w:rsidRPr="00D7139B">
        <w:rPr>
          <w:sz w:val="24"/>
          <w:szCs w:val="24"/>
        </w:rPr>
        <w:t>, br</w:t>
      </w:r>
      <w:r w:rsidR="00216CD1">
        <w:rPr>
          <w:sz w:val="24"/>
          <w:szCs w:val="24"/>
        </w:rPr>
        <w:t>oj</w:t>
      </w:r>
      <w:r w:rsidRPr="00D7139B">
        <w:rPr>
          <w:sz w:val="24"/>
          <w:szCs w:val="24"/>
        </w:rPr>
        <w:t xml:space="preserve"> 37/22)</w:t>
      </w:r>
    </w:p>
    <w:p w14:paraId="48616E50" w14:textId="07D1DF57" w:rsidR="005202D3" w:rsidRDefault="00ED598C" w:rsidP="00ED598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D598C">
        <w:rPr>
          <w:sz w:val="24"/>
          <w:szCs w:val="24"/>
        </w:rPr>
        <w:t>Zakon o fiskalnoj odgovornosti (</w:t>
      </w:r>
      <w:r w:rsidR="00B32151">
        <w:rPr>
          <w:sz w:val="24"/>
          <w:szCs w:val="24"/>
        </w:rPr>
        <w:t>„</w:t>
      </w:r>
      <w:r w:rsidRPr="00ED598C">
        <w:rPr>
          <w:sz w:val="24"/>
          <w:szCs w:val="24"/>
        </w:rPr>
        <w:t>Narodne novine</w:t>
      </w:r>
      <w:r w:rsidR="00B32151">
        <w:rPr>
          <w:sz w:val="24"/>
          <w:szCs w:val="24"/>
        </w:rPr>
        <w:t>“</w:t>
      </w:r>
      <w:r w:rsidRPr="00ED598C">
        <w:rPr>
          <w:sz w:val="24"/>
          <w:szCs w:val="24"/>
        </w:rPr>
        <w:t xml:space="preserve"> broj 111/18</w:t>
      </w:r>
      <w:r w:rsidR="005202D3" w:rsidRPr="005202D3">
        <w:rPr>
          <w:sz w:val="24"/>
          <w:szCs w:val="24"/>
        </w:rPr>
        <w:t>)</w:t>
      </w:r>
    </w:p>
    <w:p w14:paraId="1ACB0AC4" w14:textId="0F36126C" w:rsidR="00ED598C" w:rsidRDefault="00ED598C" w:rsidP="00ED598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ED598C">
        <w:rPr>
          <w:sz w:val="24"/>
          <w:szCs w:val="24"/>
        </w:rPr>
        <w:t>Zakon o financiranju jedinica lokalne i područne (regionalne) samouprave</w:t>
      </w:r>
      <w:r>
        <w:rPr>
          <w:sz w:val="24"/>
          <w:szCs w:val="24"/>
        </w:rPr>
        <w:t xml:space="preserve"> </w:t>
      </w:r>
      <w:r w:rsidRPr="00ED598C">
        <w:rPr>
          <w:sz w:val="24"/>
          <w:szCs w:val="24"/>
        </w:rPr>
        <w:t>(“Narodne novine” br</w:t>
      </w:r>
      <w:r w:rsidR="00216CD1">
        <w:rPr>
          <w:sz w:val="24"/>
          <w:szCs w:val="24"/>
        </w:rPr>
        <w:t>oj</w:t>
      </w:r>
      <w:r w:rsidRPr="00ED598C">
        <w:rPr>
          <w:sz w:val="24"/>
          <w:szCs w:val="24"/>
        </w:rPr>
        <w:t xml:space="preserve"> 127/17,138/20</w:t>
      </w:r>
      <w:r>
        <w:rPr>
          <w:sz w:val="24"/>
          <w:szCs w:val="24"/>
        </w:rPr>
        <w:t>)</w:t>
      </w:r>
    </w:p>
    <w:p w14:paraId="2F405413" w14:textId="6877E6E9" w:rsidR="00216CD1" w:rsidRPr="005202D3" w:rsidRDefault="00216CD1" w:rsidP="00ED598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16CD1">
        <w:rPr>
          <w:sz w:val="24"/>
          <w:szCs w:val="24"/>
        </w:rPr>
        <w:t>Zakon o lokalnoj i područnoj (regionalnoj) samoupravi („Narodne novine“ br. 33/01, 60/01, 129/05, 109/07, 125/08, 36/09, 36/09, 150/11, 144/12, 19/13, 137/15, 123/17, 98/19, 144/20</w:t>
      </w:r>
      <w:r>
        <w:rPr>
          <w:sz w:val="24"/>
          <w:szCs w:val="24"/>
        </w:rPr>
        <w:t>)</w:t>
      </w:r>
    </w:p>
    <w:p w14:paraId="5CD1D152" w14:textId="075C175B" w:rsidR="005202D3" w:rsidRDefault="005202D3" w:rsidP="005202D3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5202D3">
        <w:rPr>
          <w:sz w:val="24"/>
          <w:szCs w:val="24"/>
        </w:rPr>
        <w:t xml:space="preserve">Statut </w:t>
      </w:r>
      <w:r>
        <w:rPr>
          <w:sz w:val="24"/>
          <w:szCs w:val="24"/>
        </w:rPr>
        <w:t>Općine Vidovec</w:t>
      </w:r>
      <w:r w:rsidRPr="005202D3">
        <w:rPr>
          <w:sz w:val="24"/>
          <w:szCs w:val="24"/>
        </w:rPr>
        <w:t xml:space="preserve"> (“Službeni </w:t>
      </w:r>
      <w:r>
        <w:rPr>
          <w:sz w:val="24"/>
          <w:szCs w:val="24"/>
        </w:rPr>
        <w:t xml:space="preserve">vjesnik Varaždinske županije“ broj </w:t>
      </w:r>
      <w:r w:rsidR="00141444">
        <w:rPr>
          <w:sz w:val="24"/>
          <w:szCs w:val="24"/>
        </w:rPr>
        <w:t>20/21</w:t>
      </w:r>
      <w:r w:rsidRPr="005202D3">
        <w:rPr>
          <w:sz w:val="24"/>
          <w:szCs w:val="24"/>
        </w:rPr>
        <w:t>)</w:t>
      </w:r>
    </w:p>
    <w:p w14:paraId="189703EB" w14:textId="77777777" w:rsidR="006D751A" w:rsidRPr="00E84244" w:rsidRDefault="006D751A" w:rsidP="00216CD1">
      <w:pPr>
        <w:spacing w:line="276" w:lineRule="auto"/>
        <w:rPr>
          <w:sz w:val="24"/>
          <w:szCs w:val="24"/>
        </w:rPr>
      </w:pPr>
    </w:p>
    <w:p w14:paraId="747E1F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84244">
        <w:rPr>
          <w:sz w:val="24"/>
          <w:szCs w:val="24"/>
        </w:rPr>
        <w:t>Prethodnoj provjeri znanja i sposobnosti kandidata mogu pristupiti samo kandidati ko</w:t>
      </w:r>
      <w:r w:rsidR="008B0E37">
        <w:rPr>
          <w:sz w:val="24"/>
          <w:szCs w:val="24"/>
        </w:rPr>
        <w:t xml:space="preserve">ji ispunjavaju formalne uvjete </w:t>
      </w:r>
      <w:r w:rsidR="00281458">
        <w:rPr>
          <w:sz w:val="24"/>
          <w:szCs w:val="24"/>
        </w:rPr>
        <w:t>oglasa</w:t>
      </w:r>
      <w:r w:rsidRPr="00E84244">
        <w:rPr>
          <w:sz w:val="24"/>
          <w:szCs w:val="24"/>
        </w:rPr>
        <w:t>.</w:t>
      </w:r>
    </w:p>
    <w:p w14:paraId="25977FC7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14:paraId="400DA9AB" w14:textId="77777777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6732DDAF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56F773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403E31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>će se da je povukao prijavu na oglas</w:t>
      </w:r>
      <w:r w:rsidRPr="00E84244">
        <w:rPr>
          <w:rFonts w:eastAsia="Calibri"/>
          <w:sz w:val="24"/>
          <w:szCs w:val="24"/>
        </w:rPr>
        <w:t>.</w:t>
      </w:r>
    </w:p>
    <w:p w14:paraId="2D0C72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1A302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759A955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65FEBA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68DFE5E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834A9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77D0AE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BCB56B5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2CA287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007EEE0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207DDD4E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179FC89D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67DFF4C1" w14:textId="48ADDDCF" w:rsidR="006D751A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51233287" w14:textId="77777777" w:rsidR="00216CD1" w:rsidRPr="00E84244" w:rsidRDefault="00216CD1" w:rsidP="00216CD1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sz w:val="24"/>
          <w:szCs w:val="24"/>
        </w:rPr>
      </w:pPr>
    </w:p>
    <w:p w14:paraId="15BD7DC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18ED51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F90D99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2F8960D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45A1580C" w14:textId="61D95D65" w:rsidR="006D751A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6AE0CF92" w14:textId="77777777" w:rsidR="00277652" w:rsidRPr="00E84244" w:rsidRDefault="00277652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9BBB0C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1079BC2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932FECE" w14:textId="3765DD57" w:rsidR="006D751A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59E92FBD" w14:textId="77777777" w:rsidR="00277652" w:rsidRPr="00E84244" w:rsidRDefault="00277652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465DCE2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72D79ED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54F5AF0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04811AE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17DB294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DCABC4A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75A651A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89652CD" w14:textId="7AC834C2" w:rsidR="006D751A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>.</w:t>
      </w:r>
    </w:p>
    <w:p w14:paraId="6D9CE764" w14:textId="77777777" w:rsidR="00277652" w:rsidRPr="00E84244" w:rsidRDefault="00277652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9F336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52863BA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2AB729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0657436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CC088C7" w14:textId="77777777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614C0F07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DE95ACE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>Povjerenstvo za provedbu oglasa</w:t>
      </w:r>
    </w:p>
    <w:p w14:paraId="3C4D73D1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260F0BF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897896">
    <w:abstractNumId w:val="0"/>
  </w:num>
  <w:num w:numId="2" w16cid:durableId="603732519">
    <w:abstractNumId w:val="2"/>
  </w:num>
  <w:num w:numId="3" w16cid:durableId="1361854925">
    <w:abstractNumId w:val="3"/>
  </w:num>
  <w:num w:numId="4" w16cid:durableId="968166428">
    <w:abstractNumId w:val="4"/>
  </w:num>
  <w:num w:numId="5" w16cid:durableId="163841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A"/>
    <w:rsid w:val="0002165F"/>
    <w:rsid w:val="000E399D"/>
    <w:rsid w:val="0013784C"/>
    <w:rsid w:val="00141444"/>
    <w:rsid w:val="00216CD1"/>
    <w:rsid w:val="00223CBF"/>
    <w:rsid w:val="00277652"/>
    <w:rsid w:val="00281458"/>
    <w:rsid w:val="00351331"/>
    <w:rsid w:val="0042154B"/>
    <w:rsid w:val="004541A6"/>
    <w:rsid w:val="004735E1"/>
    <w:rsid w:val="00510BD2"/>
    <w:rsid w:val="005202D3"/>
    <w:rsid w:val="0059339F"/>
    <w:rsid w:val="006D751A"/>
    <w:rsid w:val="006F7831"/>
    <w:rsid w:val="00851A0B"/>
    <w:rsid w:val="00896DE7"/>
    <w:rsid w:val="008B0E37"/>
    <w:rsid w:val="009D3197"/>
    <w:rsid w:val="009E6C72"/>
    <w:rsid w:val="00A0265F"/>
    <w:rsid w:val="00AD7E13"/>
    <w:rsid w:val="00B32151"/>
    <w:rsid w:val="00C54A71"/>
    <w:rsid w:val="00CC5088"/>
    <w:rsid w:val="00D7139B"/>
    <w:rsid w:val="00ED598C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B1B9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2</cp:revision>
  <cp:lastPrinted>2019-03-12T07:55:00Z</cp:lastPrinted>
  <dcterms:created xsi:type="dcterms:W3CDTF">2022-05-19T12:49:00Z</dcterms:created>
  <dcterms:modified xsi:type="dcterms:W3CDTF">2022-05-19T12:49:00Z</dcterms:modified>
</cp:coreProperties>
</file>