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358" w:rsidRDefault="00877358">
      <w:pPr>
        <w:pStyle w:val="Tijeloteksta"/>
        <w:spacing w:before="11"/>
        <w:rPr>
          <w:rFonts w:ascii="Times New Roman"/>
          <w:sz w:val="13"/>
        </w:rPr>
      </w:pPr>
    </w:p>
    <w:p w:rsidR="00877358" w:rsidRPr="00ED09AA" w:rsidRDefault="0065564B">
      <w:pPr>
        <w:pStyle w:val="Tijeloteksta"/>
        <w:spacing w:before="93" w:line="259" w:lineRule="auto"/>
        <w:ind w:left="115" w:right="113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0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temelju članka 82. Pravilnika o proračunskom računovodstvu i računskom planu (NN RH 124/14, 115/15, 87/16, 3/18, 126/19, 108/20), </w:t>
      </w:r>
      <w:r w:rsidR="009038B8" w:rsidRPr="00ED09AA">
        <w:rPr>
          <w:rFonts w:ascii="Times New Roman" w:hAnsi="Times New Roman" w:cs="Times New Roman"/>
          <w:color w:val="000000" w:themeColor="text1"/>
          <w:sz w:val="24"/>
          <w:szCs w:val="24"/>
        </w:rPr>
        <w:t>članka 37. Zakona o proračunu  (NN RH 144/21)</w:t>
      </w:r>
      <w:r w:rsidR="00ED09A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038B8" w:rsidRPr="00ED0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D09AA">
        <w:rPr>
          <w:rFonts w:ascii="Times New Roman" w:hAnsi="Times New Roman" w:cs="Times New Roman"/>
          <w:color w:val="000000" w:themeColor="text1"/>
          <w:sz w:val="24"/>
          <w:szCs w:val="24"/>
        </w:rPr>
        <w:t>Uputa Ministarstva financija za izradu proračuna</w:t>
      </w:r>
      <w:r w:rsidRPr="00ED09AA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ED09AA">
        <w:rPr>
          <w:rFonts w:ascii="Times New Roman" w:hAnsi="Times New Roman" w:cs="Times New Roman"/>
          <w:color w:val="000000" w:themeColor="text1"/>
          <w:sz w:val="24"/>
          <w:szCs w:val="24"/>
        </w:rPr>
        <w:t>jedinica</w:t>
      </w:r>
      <w:r w:rsidRPr="00ED09AA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D09AA">
        <w:rPr>
          <w:rFonts w:ascii="Times New Roman" w:hAnsi="Times New Roman" w:cs="Times New Roman"/>
          <w:color w:val="000000" w:themeColor="text1"/>
          <w:sz w:val="24"/>
          <w:szCs w:val="24"/>
        </w:rPr>
        <w:t>lokalne</w:t>
      </w:r>
      <w:r w:rsidRPr="00ED09AA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D09A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ED09AA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D09AA">
        <w:rPr>
          <w:rFonts w:ascii="Times New Roman" w:hAnsi="Times New Roman" w:cs="Times New Roman"/>
          <w:color w:val="000000" w:themeColor="text1"/>
          <w:sz w:val="24"/>
          <w:szCs w:val="24"/>
        </w:rPr>
        <w:t>područne</w:t>
      </w:r>
      <w:r w:rsidRPr="00ED09AA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ED09AA">
        <w:rPr>
          <w:rFonts w:ascii="Times New Roman" w:hAnsi="Times New Roman" w:cs="Times New Roman"/>
          <w:color w:val="000000" w:themeColor="text1"/>
          <w:sz w:val="24"/>
          <w:szCs w:val="24"/>
        </w:rPr>
        <w:t>(regionalne)</w:t>
      </w:r>
      <w:r w:rsidRPr="00ED09AA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D09AA">
        <w:rPr>
          <w:rFonts w:ascii="Times New Roman" w:hAnsi="Times New Roman" w:cs="Times New Roman"/>
          <w:color w:val="000000" w:themeColor="text1"/>
          <w:sz w:val="24"/>
          <w:szCs w:val="24"/>
        </w:rPr>
        <w:t>samouprave</w:t>
      </w:r>
      <w:r w:rsidRPr="00ED09AA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D09AA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Pr="00ED09AA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D09AA">
        <w:rPr>
          <w:rFonts w:ascii="Times New Roman" w:hAnsi="Times New Roman" w:cs="Times New Roman"/>
          <w:color w:val="000000" w:themeColor="text1"/>
          <w:sz w:val="24"/>
          <w:szCs w:val="24"/>
        </w:rPr>
        <w:t>razdoblje</w:t>
      </w:r>
      <w:r w:rsidRPr="00ED09AA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D09AA">
        <w:rPr>
          <w:rFonts w:ascii="Times New Roman" w:hAnsi="Times New Roman" w:cs="Times New Roman"/>
          <w:color w:val="000000" w:themeColor="text1"/>
          <w:sz w:val="24"/>
          <w:szCs w:val="24"/>
        </w:rPr>
        <w:t>2018.</w:t>
      </w:r>
      <w:r w:rsidRPr="00ED09AA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ED09A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ED09AA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D09AA">
        <w:rPr>
          <w:rFonts w:ascii="Times New Roman" w:hAnsi="Times New Roman" w:cs="Times New Roman"/>
          <w:color w:val="000000" w:themeColor="text1"/>
          <w:sz w:val="24"/>
          <w:szCs w:val="24"/>
        </w:rPr>
        <w:t>2020.,</w:t>
      </w:r>
      <w:r w:rsidRPr="00ED09AA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D09AA">
        <w:rPr>
          <w:rFonts w:ascii="Times New Roman" w:hAnsi="Times New Roman" w:cs="Times New Roman"/>
          <w:color w:val="000000" w:themeColor="text1"/>
          <w:sz w:val="24"/>
          <w:szCs w:val="24"/>
        </w:rPr>
        <w:t>te razdoblje 2022. – 2024. (objava na stanicama Ministarstva financija RH) i</w:t>
      </w:r>
      <w:r w:rsidR="009038B8" w:rsidRPr="00ED0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članka 31. Statuta Općine </w:t>
      </w:r>
      <w:r w:rsidR="00ED09AA" w:rsidRPr="00ED09AA">
        <w:rPr>
          <w:rFonts w:ascii="Times New Roman" w:hAnsi="Times New Roman" w:cs="Times New Roman"/>
          <w:color w:val="000000" w:themeColor="text1"/>
          <w:sz w:val="24"/>
          <w:szCs w:val="24"/>
        </w:rPr>
        <w:t>Vidovec</w:t>
      </w:r>
      <w:r w:rsidR="00ED0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09AA" w:rsidRPr="00ED09AA">
        <w:rPr>
          <w:rFonts w:ascii="Times New Roman" w:hAnsi="Times New Roman" w:cs="Times New Roman"/>
          <w:color w:val="000000" w:themeColor="text1"/>
          <w:sz w:val="24"/>
          <w:szCs w:val="24"/>
        </w:rPr>
        <w:t>(„Službeni vjesnik Varaždinske županije“ broj: 20/21), Općinsko vije</w:t>
      </w:r>
      <w:r w:rsidR="003E63C3">
        <w:rPr>
          <w:rFonts w:ascii="Times New Roman" w:hAnsi="Times New Roman" w:cs="Times New Roman"/>
          <w:color w:val="000000" w:themeColor="text1"/>
          <w:sz w:val="24"/>
          <w:szCs w:val="24"/>
        </w:rPr>
        <w:t>će Općine Vidovec na svojoj 10</w:t>
      </w:r>
      <w:r w:rsidRPr="00ED09AA">
        <w:rPr>
          <w:rFonts w:ascii="Times New Roman" w:hAnsi="Times New Roman" w:cs="Times New Roman"/>
          <w:color w:val="000000" w:themeColor="text1"/>
          <w:sz w:val="24"/>
          <w:szCs w:val="24"/>
        </w:rPr>
        <w:t>. sjednic</w:t>
      </w:r>
      <w:r w:rsidR="004C3D03">
        <w:rPr>
          <w:rFonts w:ascii="Times New Roman" w:hAnsi="Times New Roman" w:cs="Times New Roman"/>
          <w:color w:val="000000" w:themeColor="text1"/>
          <w:sz w:val="24"/>
          <w:szCs w:val="24"/>
        </w:rPr>
        <w:t>i održanoj dana 09. l</w:t>
      </w:r>
      <w:bookmarkStart w:id="0" w:name="_GoBack"/>
      <w:bookmarkEnd w:id="0"/>
      <w:r w:rsidR="003E63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ipnja </w:t>
      </w:r>
      <w:r w:rsidR="00ED09AA" w:rsidRPr="00ED09AA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Pr="00ED09AA">
        <w:rPr>
          <w:rFonts w:ascii="Times New Roman" w:hAnsi="Times New Roman" w:cs="Times New Roman"/>
          <w:color w:val="000000" w:themeColor="text1"/>
          <w:sz w:val="24"/>
          <w:szCs w:val="24"/>
        </w:rPr>
        <w:t>. godine</w:t>
      </w:r>
      <w:r w:rsidRPr="00ED09AA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D09AA">
        <w:rPr>
          <w:rFonts w:ascii="Times New Roman" w:hAnsi="Times New Roman" w:cs="Times New Roman"/>
          <w:color w:val="000000" w:themeColor="text1"/>
          <w:sz w:val="24"/>
          <w:szCs w:val="24"/>
        </w:rPr>
        <w:t>donosi</w:t>
      </w:r>
    </w:p>
    <w:p w:rsidR="00877358" w:rsidRDefault="003E63C3">
      <w:pPr>
        <w:pStyle w:val="Naslov1"/>
        <w:spacing w:before="156" w:line="252" w:lineRule="exact"/>
        <w:ind w:left="1096"/>
      </w:pPr>
      <w:r>
        <w:t xml:space="preserve">  ODLUKU</w:t>
      </w:r>
    </w:p>
    <w:p w:rsidR="00877358" w:rsidRDefault="0065564B">
      <w:pPr>
        <w:spacing w:line="252" w:lineRule="exact"/>
        <w:ind w:left="1804" w:right="1096"/>
        <w:jc w:val="center"/>
        <w:rPr>
          <w:b/>
        </w:rPr>
      </w:pPr>
      <w:r>
        <w:rPr>
          <w:b/>
        </w:rPr>
        <w:t>o sukcesivnom pokriću manjka iz prethodnog razdoblja</w:t>
      </w:r>
    </w:p>
    <w:p w:rsidR="00877358" w:rsidRDefault="00ED09AA">
      <w:pPr>
        <w:spacing w:before="2"/>
        <w:ind w:left="1804" w:right="1096"/>
        <w:jc w:val="center"/>
        <w:rPr>
          <w:b/>
        </w:rPr>
      </w:pPr>
      <w:r>
        <w:rPr>
          <w:b/>
        </w:rPr>
        <w:t>u proračunu Općine Vidovec</w:t>
      </w:r>
      <w:r w:rsidR="0065564B">
        <w:rPr>
          <w:b/>
        </w:rPr>
        <w:t xml:space="preserve"> </w:t>
      </w:r>
      <w:r w:rsidR="007742A3">
        <w:rPr>
          <w:b/>
        </w:rPr>
        <w:t>u razdoblju 2022. – 2024. godine</w:t>
      </w:r>
    </w:p>
    <w:p w:rsidR="00877358" w:rsidRDefault="00877358">
      <w:pPr>
        <w:pStyle w:val="Tijeloteksta"/>
        <w:spacing w:before="8"/>
        <w:rPr>
          <w:b/>
          <w:sz w:val="23"/>
        </w:rPr>
      </w:pPr>
    </w:p>
    <w:p w:rsidR="00877358" w:rsidRDefault="0065564B">
      <w:pPr>
        <w:ind w:left="1095" w:right="1096"/>
        <w:jc w:val="center"/>
        <w:rPr>
          <w:b/>
        </w:rPr>
      </w:pPr>
      <w:r>
        <w:rPr>
          <w:b/>
        </w:rPr>
        <w:t>Članak 1.</w:t>
      </w:r>
    </w:p>
    <w:p w:rsidR="00877358" w:rsidRDefault="0065564B">
      <w:pPr>
        <w:pStyle w:val="Tijeloteksta"/>
        <w:spacing w:before="181" w:line="259" w:lineRule="auto"/>
        <w:ind w:left="115" w:right="113" w:firstLine="708"/>
        <w:jc w:val="both"/>
      </w:pPr>
      <w:r>
        <w:t>Ovom Odlukom utvrđuje se procjena rezultata poslovanja te način i dinamika pokrića procijenjenog m</w:t>
      </w:r>
      <w:r w:rsidR="00ED09AA">
        <w:t>anjka u proračunu Općine Vidovec</w:t>
      </w:r>
      <w:r>
        <w:t xml:space="preserve"> trogodišnjem razdoblju 2022. – 2024. godine.</w:t>
      </w:r>
      <w:r>
        <w:rPr>
          <w:spacing w:val="-15"/>
        </w:rPr>
        <w:t xml:space="preserve"> </w:t>
      </w:r>
      <w:r>
        <w:rPr>
          <w:b/>
        </w:rPr>
        <w:t>Odluka</w:t>
      </w:r>
      <w:r>
        <w:rPr>
          <w:b/>
          <w:spacing w:val="-16"/>
        </w:rPr>
        <w:t xml:space="preserve"> </w:t>
      </w:r>
      <w:r>
        <w:rPr>
          <w:b/>
        </w:rPr>
        <w:t>se</w:t>
      </w:r>
      <w:r>
        <w:rPr>
          <w:b/>
          <w:spacing w:val="-17"/>
        </w:rPr>
        <w:t xml:space="preserve"> </w:t>
      </w:r>
      <w:r>
        <w:rPr>
          <w:b/>
        </w:rPr>
        <w:t>donosi</w:t>
      </w:r>
      <w:r>
        <w:rPr>
          <w:b/>
          <w:spacing w:val="-15"/>
        </w:rPr>
        <w:t xml:space="preserve"> </w:t>
      </w:r>
      <w:r>
        <w:rPr>
          <w:b/>
        </w:rPr>
        <w:t>za</w:t>
      </w:r>
      <w:r>
        <w:rPr>
          <w:b/>
          <w:spacing w:val="-20"/>
        </w:rPr>
        <w:t xml:space="preserve"> </w:t>
      </w:r>
      <w:r w:rsidR="00ED09AA">
        <w:rPr>
          <w:b/>
        </w:rPr>
        <w:t>Općinu</w:t>
      </w:r>
      <w:r>
        <w:rPr>
          <w:b/>
        </w:rPr>
        <w:t>,</w:t>
      </w:r>
      <w:r>
        <w:rPr>
          <w:b/>
          <w:spacing w:val="-15"/>
        </w:rPr>
        <w:t xml:space="preserve"> </w:t>
      </w:r>
      <w:r>
        <w:rPr>
          <w:b/>
        </w:rPr>
        <w:t>bez</w:t>
      </w:r>
      <w:r>
        <w:rPr>
          <w:b/>
          <w:spacing w:val="-16"/>
        </w:rPr>
        <w:t xml:space="preserve"> </w:t>
      </w:r>
      <w:r w:rsidR="00BC3D1C">
        <w:rPr>
          <w:b/>
        </w:rPr>
        <w:t>proračunskog</w:t>
      </w:r>
      <w:r>
        <w:rPr>
          <w:b/>
          <w:spacing w:val="-17"/>
        </w:rPr>
        <w:t xml:space="preserve"> </w:t>
      </w:r>
      <w:r>
        <w:rPr>
          <w:b/>
        </w:rPr>
        <w:t>korisnika</w:t>
      </w:r>
      <w:r w:rsidR="00BC3D1C">
        <w:t xml:space="preserve"> Dječjeg vrtića Škrinjica</w:t>
      </w:r>
      <w:r>
        <w:rPr>
          <w:spacing w:val="-15"/>
        </w:rPr>
        <w:t xml:space="preserve"> </w:t>
      </w:r>
      <w:r>
        <w:t>koji</w:t>
      </w:r>
      <w:r>
        <w:rPr>
          <w:spacing w:val="-18"/>
        </w:rPr>
        <w:t xml:space="preserve"> </w:t>
      </w:r>
      <w:r>
        <w:t>samostalno</w:t>
      </w:r>
      <w:r>
        <w:rPr>
          <w:spacing w:val="-16"/>
        </w:rPr>
        <w:t xml:space="preserve"> </w:t>
      </w:r>
      <w:r>
        <w:t>procjenjuju rezultate</w:t>
      </w:r>
      <w:r>
        <w:rPr>
          <w:spacing w:val="-15"/>
        </w:rPr>
        <w:t xml:space="preserve"> </w:t>
      </w:r>
      <w:r>
        <w:t>poslovanja</w:t>
      </w:r>
      <w:r>
        <w:rPr>
          <w:spacing w:val="-15"/>
        </w:rPr>
        <w:t xml:space="preserve"> </w:t>
      </w:r>
      <w:r>
        <w:t>i</w:t>
      </w:r>
      <w:r>
        <w:rPr>
          <w:spacing w:val="-12"/>
        </w:rPr>
        <w:t xml:space="preserve"> </w:t>
      </w:r>
      <w:r w:rsidR="00BC3D1C">
        <w:t>unosi</w:t>
      </w:r>
      <w:r>
        <w:rPr>
          <w:spacing w:val="-12"/>
        </w:rPr>
        <w:t xml:space="preserve"> </w:t>
      </w:r>
      <w:r>
        <w:t>ih</w:t>
      </w:r>
      <w:r>
        <w:rPr>
          <w:spacing w:val="-15"/>
        </w:rPr>
        <w:t xml:space="preserve"> </w:t>
      </w:r>
      <w:r>
        <w:t>u</w:t>
      </w:r>
      <w:r>
        <w:rPr>
          <w:spacing w:val="-14"/>
        </w:rPr>
        <w:t xml:space="preserve"> </w:t>
      </w:r>
      <w:r>
        <w:t>svoje</w:t>
      </w:r>
      <w:r>
        <w:rPr>
          <w:spacing w:val="-15"/>
        </w:rPr>
        <w:t xml:space="preserve"> </w:t>
      </w:r>
      <w:r>
        <w:t>financijske</w:t>
      </w:r>
      <w:r>
        <w:rPr>
          <w:spacing w:val="-15"/>
        </w:rPr>
        <w:t xml:space="preserve"> </w:t>
      </w:r>
      <w:r>
        <w:t>planove.</w:t>
      </w:r>
      <w:r>
        <w:rPr>
          <w:spacing w:val="-10"/>
        </w:rPr>
        <w:t xml:space="preserve"> </w:t>
      </w:r>
      <w:r>
        <w:t>Rezultat</w:t>
      </w:r>
      <w:r>
        <w:rPr>
          <w:spacing w:val="-13"/>
        </w:rPr>
        <w:t xml:space="preserve"> </w:t>
      </w:r>
      <w:r>
        <w:t>poslovanja</w:t>
      </w:r>
      <w:r>
        <w:rPr>
          <w:spacing w:val="-15"/>
        </w:rPr>
        <w:t xml:space="preserve"> </w:t>
      </w:r>
      <w:r>
        <w:t>koji</w:t>
      </w:r>
      <w:r>
        <w:rPr>
          <w:spacing w:val="-17"/>
        </w:rPr>
        <w:t xml:space="preserve"> </w:t>
      </w:r>
      <w:r>
        <w:t>je</w:t>
      </w:r>
      <w:r>
        <w:rPr>
          <w:spacing w:val="-15"/>
        </w:rPr>
        <w:t xml:space="preserve"> </w:t>
      </w:r>
      <w:r>
        <w:t>naveden u</w:t>
      </w:r>
      <w:r>
        <w:rPr>
          <w:spacing w:val="-14"/>
        </w:rPr>
        <w:t xml:space="preserve"> </w:t>
      </w:r>
      <w:r>
        <w:t>proračunu</w:t>
      </w:r>
      <w:r>
        <w:rPr>
          <w:spacing w:val="-14"/>
        </w:rPr>
        <w:t xml:space="preserve"> </w:t>
      </w:r>
      <w:r>
        <w:t>za</w:t>
      </w:r>
      <w:r>
        <w:rPr>
          <w:spacing w:val="-16"/>
        </w:rPr>
        <w:t xml:space="preserve"> </w:t>
      </w:r>
      <w:r>
        <w:t>razdoblje</w:t>
      </w:r>
      <w:r>
        <w:rPr>
          <w:spacing w:val="-18"/>
        </w:rPr>
        <w:t xml:space="preserve"> </w:t>
      </w:r>
      <w:r>
        <w:t>2022.</w:t>
      </w:r>
      <w:r>
        <w:rPr>
          <w:spacing w:val="-11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2024.</w:t>
      </w:r>
      <w:r>
        <w:rPr>
          <w:spacing w:val="-12"/>
        </w:rPr>
        <w:t xml:space="preserve"> </w:t>
      </w:r>
      <w:r>
        <w:t>sastoji</w:t>
      </w:r>
      <w:r>
        <w:rPr>
          <w:spacing w:val="-14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od</w:t>
      </w:r>
      <w:r>
        <w:rPr>
          <w:spacing w:val="-14"/>
        </w:rPr>
        <w:t xml:space="preserve"> </w:t>
      </w:r>
      <w:r>
        <w:t>rezultata</w:t>
      </w:r>
      <w:r>
        <w:rPr>
          <w:spacing w:val="-14"/>
        </w:rPr>
        <w:t xml:space="preserve"> </w:t>
      </w:r>
      <w:r>
        <w:t>poslovanja</w:t>
      </w:r>
      <w:r w:rsidR="00BC3D1C">
        <w:rPr>
          <w:spacing w:val="-16"/>
        </w:rPr>
        <w:t xml:space="preserve"> Općine</w:t>
      </w:r>
      <w:r>
        <w:rPr>
          <w:spacing w:val="-13"/>
        </w:rPr>
        <w:t xml:space="preserve"> </w:t>
      </w:r>
      <w:r>
        <w:t>i</w:t>
      </w:r>
      <w:r>
        <w:rPr>
          <w:spacing w:val="-14"/>
        </w:rPr>
        <w:t xml:space="preserve"> </w:t>
      </w:r>
      <w:r w:rsidR="00BC3D1C">
        <w:t>proračunskog</w:t>
      </w:r>
      <w:r>
        <w:t xml:space="preserve"> korisnika.</w:t>
      </w:r>
    </w:p>
    <w:p w:rsidR="00877358" w:rsidRDefault="0065564B">
      <w:pPr>
        <w:pStyle w:val="Naslov1"/>
        <w:spacing w:before="158"/>
      </w:pPr>
      <w:r>
        <w:t>Članak 2.</w:t>
      </w:r>
    </w:p>
    <w:p w:rsidR="00877358" w:rsidRDefault="0065564B">
      <w:pPr>
        <w:pStyle w:val="Tijeloteksta"/>
        <w:spacing w:before="181" w:line="259" w:lineRule="auto"/>
        <w:ind w:left="115" w:right="111" w:firstLine="708"/>
        <w:jc w:val="both"/>
      </w:pPr>
      <w:r>
        <w:t>Procjena planiranog rezultata (proračunskog manjka) izvršena je temeljem godišnjih finan</w:t>
      </w:r>
      <w:r w:rsidR="00BC3D1C">
        <w:t>cijskih izvještaja Općine Vidovec</w:t>
      </w:r>
      <w:r>
        <w:t xml:space="preserve"> (razina 22 – bez proračunskih korisnika) za razdoblje</w:t>
      </w:r>
    </w:p>
    <w:p w:rsidR="00877358" w:rsidRDefault="0065564B">
      <w:pPr>
        <w:pStyle w:val="Odlomakpopisa"/>
        <w:numPr>
          <w:ilvl w:val="1"/>
          <w:numId w:val="1"/>
        </w:numPr>
        <w:tabs>
          <w:tab w:val="left" w:pos="846"/>
        </w:tabs>
        <w:spacing w:before="1" w:line="256" w:lineRule="auto"/>
        <w:ind w:right="115" w:firstLine="0"/>
        <w:jc w:val="both"/>
      </w:pPr>
      <w:r>
        <w:t>– 3</w:t>
      </w:r>
      <w:r w:rsidR="00BC3D1C">
        <w:t xml:space="preserve">1.12.2021. godine u kojem </w:t>
      </w:r>
      <w:r>
        <w:t>su utvrđena stanja na osnovnim računima podskupine 922 – višak / manjak u sljedećim</w:t>
      </w:r>
      <w:r>
        <w:rPr>
          <w:spacing w:val="-2"/>
        </w:rPr>
        <w:t xml:space="preserve"> </w:t>
      </w:r>
      <w:r>
        <w:t>iznosima:</w:t>
      </w:r>
    </w:p>
    <w:p w:rsidR="00877358" w:rsidRPr="00BB20E5" w:rsidRDefault="00BC3D1C">
      <w:pPr>
        <w:pStyle w:val="Odlomakpopisa"/>
        <w:numPr>
          <w:ilvl w:val="2"/>
          <w:numId w:val="1"/>
        </w:numPr>
        <w:tabs>
          <w:tab w:val="left" w:pos="835"/>
          <w:tab w:val="left" w:pos="836"/>
        </w:tabs>
        <w:spacing w:before="164"/>
        <w:ind w:left="835"/>
        <w:jc w:val="left"/>
        <w:rPr>
          <w:b/>
        </w:rPr>
      </w:pPr>
      <w:r>
        <w:t>31.12.2021</w:t>
      </w:r>
      <w:r w:rsidR="0065564B">
        <w:t>. godine utvrđe</w:t>
      </w:r>
      <w:r>
        <w:t xml:space="preserve">n je manjak u iznosu </w:t>
      </w:r>
      <w:r w:rsidRPr="00BB20E5">
        <w:rPr>
          <w:b/>
        </w:rPr>
        <w:t>-2.766.528,90</w:t>
      </w:r>
      <w:r w:rsidR="0065564B" w:rsidRPr="00BB20E5">
        <w:rPr>
          <w:b/>
          <w:spacing w:val="-9"/>
        </w:rPr>
        <w:t xml:space="preserve"> </w:t>
      </w:r>
      <w:r w:rsidR="0065564B" w:rsidRPr="00BB20E5">
        <w:rPr>
          <w:b/>
        </w:rPr>
        <w:t>kuna</w:t>
      </w:r>
    </w:p>
    <w:p w:rsidR="00877358" w:rsidRDefault="00BB20E5">
      <w:pPr>
        <w:pStyle w:val="Naslov1"/>
        <w:spacing w:before="157"/>
        <w:ind w:left="1095"/>
      </w:pPr>
      <w:r>
        <w:t>Članak 3</w:t>
      </w:r>
      <w:r w:rsidR="0065564B">
        <w:t>.</w:t>
      </w:r>
    </w:p>
    <w:p w:rsidR="00877358" w:rsidRDefault="00BB20E5">
      <w:pPr>
        <w:pStyle w:val="Tijeloteksta"/>
        <w:spacing w:before="183"/>
        <w:ind w:left="824"/>
      </w:pPr>
      <w:r>
        <w:t xml:space="preserve">Pokriće  proračunskog manjka iz članka 2. ove Odluke planirano je </w:t>
      </w:r>
    </w:p>
    <w:p w:rsidR="00877358" w:rsidRDefault="00BB20E5">
      <w:pPr>
        <w:pStyle w:val="Tijeloteksta"/>
        <w:spacing w:before="19"/>
        <w:ind w:left="116"/>
      </w:pPr>
      <w:r>
        <w:t>proračunom</w:t>
      </w:r>
      <w:r w:rsidR="0065564B">
        <w:t xml:space="preserve"> za 2022. i projekcijama za 2023. i 2024. sljedećom dinamikom:</w:t>
      </w:r>
    </w:p>
    <w:p w:rsidR="00877358" w:rsidRDefault="00806260">
      <w:pPr>
        <w:pStyle w:val="Odlomakpopisa"/>
        <w:numPr>
          <w:ilvl w:val="2"/>
          <w:numId w:val="1"/>
        </w:numPr>
        <w:tabs>
          <w:tab w:val="left" w:pos="836"/>
          <w:tab w:val="left" w:pos="837"/>
        </w:tabs>
        <w:spacing w:before="181"/>
        <w:jc w:val="left"/>
      </w:pPr>
      <w:r w:rsidRPr="00806260">
        <w:rPr>
          <w:b/>
        </w:rPr>
        <w:t>2022. godina</w:t>
      </w:r>
      <w:r w:rsidR="000D70CD" w:rsidRPr="00806260">
        <w:rPr>
          <w:b/>
        </w:rPr>
        <w:t xml:space="preserve"> :</w:t>
      </w:r>
      <w:r w:rsidR="00BB20E5" w:rsidRPr="00806260">
        <w:rPr>
          <w:b/>
        </w:rPr>
        <w:t xml:space="preserve"> </w:t>
      </w:r>
      <w:r w:rsidR="001A67B2" w:rsidRPr="00806260">
        <w:rPr>
          <w:b/>
        </w:rPr>
        <w:t>-</w:t>
      </w:r>
      <w:r w:rsidRPr="00806260">
        <w:rPr>
          <w:b/>
        </w:rPr>
        <w:t xml:space="preserve"> </w:t>
      </w:r>
      <w:r w:rsidR="00BB20E5" w:rsidRPr="00806260">
        <w:rPr>
          <w:b/>
        </w:rPr>
        <w:t>1.266</w:t>
      </w:r>
      <w:r>
        <w:rPr>
          <w:b/>
        </w:rPr>
        <w:t>.528,90 kuna</w:t>
      </w:r>
    </w:p>
    <w:p w:rsidR="00877358" w:rsidRPr="00AE3169" w:rsidRDefault="000D70CD">
      <w:pPr>
        <w:pStyle w:val="Odlomakpopisa"/>
        <w:numPr>
          <w:ilvl w:val="2"/>
          <w:numId w:val="1"/>
        </w:numPr>
        <w:tabs>
          <w:tab w:val="left" w:pos="836"/>
          <w:tab w:val="left" w:pos="837"/>
        </w:tabs>
        <w:spacing w:before="18"/>
        <w:jc w:val="left"/>
        <w:rPr>
          <w:b/>
        </w:rPr>
      </w:pPr>
      <w:r w:rsidRPr="00AE3169">
        <w:rPr>
          <w:b/>
        </w:rPr>
        <w:t>2023. godina :</w:t>
      </w:r>
      <w:r w:rsidR="00806260">
        <w:rPr>
          <w:b/>
        </w:rPr>
        <w:t xml:space="preserve"> </w:t>
      </w:r>
      <w:r w:rsidRPr="00AE3169">
        <w:rPr>
          <w:b/>
        </w:rPr>
        <w:t>-</w:t>
      </w:r>
      <w:r w:rsidR="00BB20E5" w:rsidRPr="00AE3169">
        <w:rPr>
          <w:b/>
        </w:rPr>
        <w:t xml:space="preserve"> 1.500</w:t>
      </w:r>
      <w:r w:rsidR="0065564B" w:rsidRPr="00AE3169">
        <w:rPr>
          <w:b/>
        </w:rPr>
        <w:t>.000</w:t>
      </w:r>
      <w:r w:rsidR="00BB20E5" w:rsidRPr="00AE3169">
        <w:rPr>
          <w:b/>
        </w:rPr>
        <w:t>,00</w:t>
      </w:r>
      <w:r w:rsidR="0065564B" w:rsidRPr="00AE3169">
        <w:rPr>
          <w:b/>
          <w:spacing w:val="-10"/>
        </w:rPr>
        <w:t xml:space="preserve"> </w:t>
      </w:r>
      <w:r w:rsidR="0065564B" w:rsidRPr="00AE3169">
        <w:rPr>
          <w:b/>
        </w:rPr>
        <w:t>kuna</w:t>
      </w:r>
    </w:p>
    <w:p w:rsidR="00877358" w:rsidRDefault="00806260">
      <w:pPr>
        <w:pStyle w:val="Odlomakpopisa"/>
        <w:numPr>
          <w:ilvl w:val="2"/>
          <w:numId w:val="1"/>
        </w:numPr>
        <w:tabs>
          <w:tab w:val="left" w:pos="836"/>
          <w:tab w:val="left" w:pos="837"/>
        </w:tabs>
        <w:spacing w:before="19"/>
        <w:jc w:val="left"/>
      </w:pPr>
      <w:r>
        <w:t>2024. g</w:t>
      </w:r>
      <w:r w:rsidR="000D70CD">
        <w:t xml:space="preserve">odina : </w:t>
      </w:r>
      <w:r w:rsidR="00BB20E5">
        <w:t xml:space="preserve">0,00 </w:t>
      </w:r>
      <w:r w:rsidR="0065564B">
        <w:rPr>
          <w:spacing w:val="-10"/>
        </w:rPr>
        <w:t xml:space="preserve"> </w:t>
      </w:r>
      <w:r w:rsidR="0065564B">
        <w:t>kuna</w:t>
      </w:r>
    </w:p>
    <w:p w:rsidR="00877358" w:rsidRDefault="00BB20E5">
      <w:pPr>
        <w:pStyle w:val="Naslov1"/>
        <w:spacing w:before="174"/>
        <w:ind w:left="1096"/>
      </w:pPr>
      <w:r>
        <w:t>Članak 4</w:t>
      </w:r>
      <w:r w:rsidR="0065564B">
        <w:t>.</w:t>
      </w:r>
    </w:p>
    <w:p w:rsidR="00877358" w:rsidRDefault="0065564B">
      <w:pPr>
        <w:pStyle w:val="Tijeloteksta"/>
        <w:spacing w:before="184" w:line="259" w:lineRule="auto"/>
        <w:ind w:left="116" w:right="113" w:firstLine="708"/>
        <w:jc w:val="both"/>
      </w:pPr>
      <w:r>
        <w:t>U svrhu uravnoteženja proračuna, nakon uključivanja dijela procijenjenog proračunskog manjka, kao i nastavka pružanja javnih usluga zadovoljavajuće kvalitete, nastavit</w:t>
      </w:r>
      <w:r>
        <w:rPr>
          <w:spacing w:val="-6"/>
        </w:rPr>
        <w:t xml:space="preserve"> </w:t>
      </w:r>
      <w:r>
        <w:t>će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narednom</w:t>
      </w:r>
      <w:r>
        <w:rPr>
          <w:spacing w:val="-5"/>
        </w:rPr>
        <w:t xml:space="preserve"> </w:t>
      </w:r>
      <w:r>
        <w:t>razdoblju</w:t>
      </w:r>
      <w:r>
        <w:rPr>
          <w:spacing w:val="-6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poduzimanjem</w:t>
      </w:r>
      <w:r>
        <w:rPr>
          <w:spacing w:val="-5"/>
        </w:rPr>
        <w:t xml:space="preserve"> </w:t>
      </w:r>
      <w:r>
        <w:t>svih</w:t>
      </w:r>
      <w:r>
        <w:rPr>
          <w:spacing w:val="-7"/>
        </w:rPr>
        <w:t xml:space="preserve"> </w:t>
      </w:r>
      <w:r>
        <w:t>raspoloživih</w:t>
      </w:r>
      <w:r>
        <w:rPr>
          <w:spacing w:val="-7"/>
        </w:rPr>
        <w:t xml:space="preserve"> </w:t>
      </w:r>
      <w:r>
        <w:t>mjera</w:t>
      </w:r>
      <w:r>
        <w:rPr>
          <w:spacing w:val="-3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pravodobno prikupljanje i ostvarenje proračunskih prihoda, uz maksimalno poštivanje načela ekonomičnosti i učinkovitosti prilikom trošenja proračunskih sredstava, kako bi</w:t>
      </w:r>
      <w:r>
        <w:rPr>
          <w:spacing w:val="-9"/>
        </w:rPr>
        <w:t xml:space="preserve"> </w:t>
      </w:r>
      <w:r>
        <w:t>ostvareni</w:t>
      </w:r>
    </w:p>
    <w:p w:rsidR="00877358" w:rsidRDefault="00877358">
      <w:pPr>
        <w:spacing w:line="259" w:lineRule="auto"/>
        <w:jc w:val="both"/>
        <w:sectPr w:rsidR="00877358">
          <w:footerReference w:type="default" r:id="rId7"/>
          <w:type w:val="continuous"/>
          <w:pgSz w:w="11910" w:h="16840"/>
          <w:pgMar w:top="1580" w:right="1300" w:bottom="1200" w:left="1300" w:header="720" w:footer="1002" w:gutter="0"/>
          <w:pgNumType w:start="1"/>
          <w:cols w:space="720"/>
        </w:sectPr>
      </w:pPr>
    </w:p>
    <w:p w:rsidR="00877358" w:rsidRDefault="0065564B">
      <w:pPr>
        <w:pStyle w:val="Tijeloteksta"/>
        <w:spacing w:before="80" w:line="256" w:lineRule="auto"/>
        <w:ind w:left="115"/>
      </w:pPr>
      <w:r>
        <w:lastRenderedPageBreak/>
        <w:t>raspoloživi prihodi bili dostatni za pokriće dijela prenesenog manjka utvrđenom dinamikom i realizaciju planiranih godišnjih rashoda i izdataka.</w:t>
      </w:r>
    </w:p>
    <w:p w:rsidR="00877358" w:rsidRDefault="00BB20E5">
      <w:pPr>
        <w:pStyle w:val="Naslov1"/>
        <w:spacing w:before="164"/>
      </w:pPr>
      <w:r>
        <w:t>Članak 5</w:t>
      </w:r>
      <w:r w:rsidR="0065564B">
        <w:t>.</w:t>
      </w:r>
    </w:p>
    <w:p w:rsidR="00877358" w:rsidRDefault="0065564B">
      <w:pPr>
        <w:pStyle w:val="Tijeloteksta"/>
        <w:spacing w:before="181" w:line="259" w:lineRule="auto"/>
        <w:ind w:left="115" w:right="115" w:firstLine="708"/>
        <w:jc w:val="both"/>
      </w:pPr>
      <w:r>
        <w:t>Analiza i ocjena postojećeg financijskog stanja s prijedlogom mjera za otklanjanje uzroka</w:t>
      </w:r>
      <w:r>
        <w:rPr>
          <w:spacing w:val="-5"/>
        </w:rPr>
        <w:t xml:space="preserve"> </w:t>
      </w:r>
      <w:r>
        <w:t>negativnog</w:t>
      </w:r>
      <w:r>
        <w:rPr>
          <w:spacing w:val="-4"/>
        </w:rPr>
        <w:t xml:space="preserve"> </w:t>
      </w:r>
      <w:r>
        <w:t>poslovanja</w:t>
      </w:r>
      <w:r>
        <w:rPr>
          <w:spacing w:val="-8"/>
        </w:rPr>
        <w:t xml:space="preserve"> </w:t>
      </w:r>
      <w:r>
        <w:t>te</w:t>
      </w:r>
      <w:r>
        <w:rPr>
          <w:spacing w:val="-7"/>
        </w:rPr>
        <w:t xml:space="preserve"> </w:t>
      </w:r>
      <w:r>
        <w:t>mjera</w:t>
      </w:r>
      <w:r>
        <w:rPr>
          <w:spacing w:val="-7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stabilno</w:t>
      </w:r>
      <w:r>
        <w:rPr>
          <w:spacing w:val="-5"/>
        </w:rPr>
        <w:t xml:space="preserve"> </w:t>
      </w:r>
      <w:r>
        <w:t>održivo</w:t>
      </w:r>
      <w:r>
        <w:rPr>
          <w:spacing w:val="-4"/>
        </w:rPr>
        <w:t xml:space="preserve"> </w:t>
      </w:r>
      <w:r>
        <w:t>poslovanje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akcijski</w:t>
      </w:r>
      <w:r>
        <w:rPr>
          <w:spacing w:val="-6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provedbe navedenih mjera, sastavni su dio ove</w:t>
      </w:r>
      <w:r>
        <w:rPr>
          <w:spacing w:val="-2"/>
        </w:rPr>
        <w:t xml:space="preserve"> </w:t>
      </w:r>
      <w:r>
        <w:t>Odluke.</w:t>
      </w:r>
    </w:p>
    <w:p w:rsidR="00877358" w:rsidRDefault="00BB20E5">
      <w:pPr>
        <w:pStyle w:val="Naslov1"/>
        <w:spacing w:before="157"/>
      </w:pPr>
      <w:r>
        <w:t>Članak 6</w:t>
      </w:r>
      <w:r w:rsidR="0065564B">
        <w:t>.</w:t>
      </w:r>
    </w:p>
    <w:p w:rsidR="00877358" w:rsidRDefault="0065564B">
      <w:pPr>
        <w:pStyle w:val="Tijeloteksta"/>
        <w:spacing w:before="179"/>
        <w:ind w:left="823"/>
      </w:pPr>
      <w:r>
        <w:t>Odgovorna osoba za provedb</w:t>
      </w:r>
      <w:r w:rsidR="00CF67CF">
        <w:t>u plana utvrđenih mjera je načelnik</w:t>
      </w:r>
      <w:r>
        <w:t>.</w:t>
      </w:r>
    </w:p>
    <w:p w:rsidR="00877358" w:rsidRDefault="00BB20E5">
      <w:pPr>
        <w:pStyle w:val="Naslov1"/>
        <w:spacing w:before="182"/>
        <w:ind w:left="1095"/>
      </w:pPr>
      <w:r>
        <w:t>Članak 7</w:t>
      </w:r>
      <w:r w:rsidR="0065564B">
        <w:t>.</w:t>
      </w:r>
    </w:p>
    <w:p w:rsidR="00877358" w:rsidRDefault="0065564B">
      <w:pPr>
        <w:pStyle w:val="Tijeloteksta"/>
        <w:spacing w:before="181" w:line="256" w:lineRule="auto"/>
        <w:ind w:left="115" w:right="117" w:firstLine="708"/>
        <w:jc w:val="both"/>
      </w:pPr>
      <w:r>
        <w:t>Ova</w:t>
      </w:r>
      <w:r>
        <w:rPr>
          <w:spacing w:val="-9"/>
        </w:rPr>
        <w:t xml:space="preserve"> </w:t>
      </w:r>
      <w:r>
        <w:t>Odluka</w:t>
      </w:r>
      <w:r>
        <w:rPr>
          <w:spacing w:val="-7"/>
        </w:rPr>
        <w:t xml:space="preserve"> </w:t>
      </w:r>
      <w:r>
        <w:t>objavit</w:t>
      </w:r>
      <w:r>
        <w:rPr>
          <w:spacing w:val="-6"/>
        </w:rPr>
        <w:t xml:space="preserve"> </w:t>
      </w:r>
      <w:r>
        <w:t>će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Službenom</w:t>
      </w:r>
      <w:r w:rsidR="00CF67CF" w:rsidRPr="00CF67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67CF" w:rsidRPr="00ED09AA">
        <w:rPr>
          <w:rFonts w:ascii="Times New Roman" w:hAnsi="Times New Roman" w:cs="Times New Roman"/>
          <w:color w:val="000000" w:themeColor="text1"/>
          <w:sz w:val="24"/>
          <w:szCs w:val="24"/>
        </w:rPr>
        <w:t>vjesnik</w:t>
      </w:r>
      <w:r w:rsidR="00CF67CF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CF67CF" w:rsidRPr="00ED0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Varaždinske županije</w:t>
      </w:r>
      <w:r>
        <w:t>,</w:t>
      </w:r>
      <w:r>
        <w:rPr>
          <w:spacing w:val="-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stupa</w:t>
      </w:r>
      <w:r>
        <w:rPr>
          <w:spacing w:val="-8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snagu</w:t>
      </w:r>
      <w:r w:rsidR="00CF67CF">
        <w:t xml:space="preserve"> osmog dana od dana objave</w:t>
      </w:r>
      <w:r>
        <w:t>.</w:t>
      </w:r>
    </w:p>
    <w:p w:rsidR="00877358" w:rsidRDefault="00877358">
      <w:pPr>
        <w:pStyle w:val="Tijeloteksta"/>
        <w:rPr>
          <w:sz w:val="24"/>
        </w:rPr>
      </w:pPr>
    </w:p>
    <w:p w:rsidR="00877358" w:rsidRDefault="00877358">
      <w:pPr>
        <w:pStyle w:val="Tijeloteksta"/>
        <w:rPr>
          <w:sz w:val="28"/>
        </w:rPr>
      </w:pPr>
    </w:p>
    <w:p w:rsidR="00877358" w:rsidRDefault="00CF67CF">
      <w:pPr>
        <w:pStyle w:val="Tijeloteksta"/>
        <w:spacing w:before="1" w:line="259" w:lineRule="auto"/>
        <w:ind w:left="116" w:right="6202" w:hanging="1"/>
      </w:pPr>
      <w:r>
        <w:t>KLASA: 400-05/22-01/02 URBROJ: 2186-10-01/1-22-01</w:t>
      </w:r>
    </w:p>
    <w:p w:rsidR="00877358" w:rsidRDefault="003E63C3">
      <w:pPr>
        <w:pStyle w:val="Tijeloteksta"/>
        <w:rPr>
          <w:sz w:val="24"/>
        </w:rPr>
      </w:pPr>
      <w:r>
        <w:t xml:space="preserve">    Vidovec, 09. lipnja </w:t>
      </w:r>
      <w:r w:rsidR="003C1F14">
        <w:t>2022.</w:t>
      </w:r>
    </w:p>
    <w:p w:rsidR="00877358" w:rsidRDefault="00877358">
      <w:pPr>
        <w:pStyle w:val="Tijeloteksta"/>
        <w:spacing w:before="4"/>
        <w:rPr>
          <w:sz w:val="25"/>
        </w:rPr>
      </w:pPr>
    </w:p>
    <w:p w:rsidR="00877358" w:rsidRPr="003C1F14" w:rsidRDefault="003C1F14">
      <w:pPr>
        <w:pStyle w:val="Naslov1"/>
        <w:ind w:left="4397" w:right="0"/>
        <w:jc w:val="left"/>
        <w:rPr>
          <w:b w:val="0"/>
        </w:rPr>
      </w:pPr>
      <w:r w:rsidRPr="003C1F14">
        <w:rPr>
          <w:b w:val="0"/>
        </w:rPr>
        <w:t xml:space="preserve">PREDSJEDNIK OPĆINSKOG </w:t>
      </w:r>
      <w:r w:rsidR="0065564B" w:rsidRPr="003C1F14">
        <w:rPr>
          <w:b w:val="0"/>
        </w:rPr>
        <w:t>VIJEĆA</w:t>
      </w:r>
    </w:p>
    <w:p w:rsidR="00877358" w:rsidRDefault="003C1F14">
      <w:pPr>
        <w:sectPr w:rsidR="00877358">
          <w:pgSz w:w="11910" w:h="16840"/>
          <w:pgMar w:top="1320" w:right="1300" w:bottom="1200" w:left="1300" w:header="0" w:footer="1002" w:gutter="0"/>
          <w:cols w:space="720"/>
        </w:sectPr>
      </w:pPr>
      <w:r>
        <w:t xml:space="preserve">                                                                                        Krunoslav Bistrović</w:t>
      </w:r>
    </w:p>
    <w:p w:rsidR="00877358" w:rsidRDefault="0065564B">
      <w:pPr>
        <w:pStyle w:val="Naslov1"/>
        <w:spacing w:before="93" w:line="259" w:lineRule="auto"/>
        <w:ind w:left="1416" w:right="961" w:hanging="447"/>
        <w:jc w:val="left"/>
      </w:pPr>
      <w:r>
        <w:lastRenderedPageBreak/>
        <w:t>Analiza i ocjena postojećeg financijskog stanja s prijedlogom mjera za otklanjanje uzroka negativnog poslovanja i mjera za stabilno održivo poslovanje te akcijski plan provedbe navedenih mjera</w:t>
      </w:r>
    </w:p>
    <w:p w:rsidR="00877358" w:rsidRDefault="00877358">
      <w:pPr>
        <w:pStyle w:val="Tijeloteksta"/>
        <w:rPr>
          <w:b/>
          <w:sz w:val="24"/>
        </w:rPr>
      </w:pPr>
    </w:p>
    <w:p w:rsidR="00877358" w:rsidRDefault="00877358">
      <w:pPr>
        <w:pStyle w:val="Tijeloteksta"/>
        <w:spacing w:before="5"/>
        <w:rPr>
          <w:b/>
          <w:sz w:val="23"/>
        </w:rPr>
      </w:pPr>
    </w:p>
    <w:p w:rsidR="00877358" w:rsidRDefault="0065564B">
      <w:pPr>
        <w:pStyle w:val="Tijeloteksta"/>
        <w:spacing w:before="1" w:line="259" w:lineRule="auto"/>
        <w:ind w:left="116" w:right="114" w:firstLine="708"/>
        <w:jc w:val="both"/>
      </w:pPr>
      <w:r>
        <w:t>U skladu s Uputama Ministarstva financija za izradu proračuna jedinica lokalne i područne (regionalne) samouprave za razdoblje 2018. – 2020. godine, čije se odredbe o sukcesivnom podmirenju proračunskog manjka pri</w:t>
      </w:r>
      <w:r w:rsidR="003C1F14">
        <w:t>mjenjuju i nadalje, Općina Vidovec</w:t>
      </w:r>
      <w:r>
        <w:t xml:space="preserve"> je, temeljem financijskih izvještaja (razina 2</w:t>
      </w:r>
      <w:r w:rsidR="003C1F14">
        <w:t>2 – bez proračunskih korisnika) utvrdila proračunski manjak, te izradila</w:t>
      </w:r>
      <w:r>
        <w:t xml:space="preserve"> plan dinamike njegovog pokrića. Sastavljen je prijedlog mjera za pokriće planiranog manjka i akcijski plan za njihovu provedbu.</w:t>
      </w:r>
    </w:p>
    <w:p w:rsidR="00877358" w:rsidRDefault="00877358">
      <w:pPr>
        <w:pStyle w:val="Tijeloteksta"/>
        <w:spacing w:before="4"/>
        <w:rPr>
          <w:sz w:val="23"/>
        </w:rPr>
      </w:pPr>
    </w:p>
    <w:p w:rsidR="00877358" w:rsidRDefault="0065564B">
      <w:pPr>
        <w:pStyle w:val="Naslov1"/>
        <w:ind w:left="116" w:right="0"/>
        <w:jc w:val="left"/>
      </w:pPr>
      <w:r>
        <w:t>ANALIZA I OCJENA POSTOJEĆEG STANJA</w:t>
      </w:r>
    </w:p>
    <w:p w:rsidR="00877358" w:rsidRDefault="0065564B" w:rsidP="00E95063">
      <w:pPr>
        <w:pStyle w:val="Tijeloteksta"/>
        <w:spacing w:before="181" w:line="259" w:lineRule="auto"/>
        <w:ind w:left="115" w:right="112" w:firstLine="708"/>
        <w:jc w:val="both"/>
      </w:pPr>
      <w:r>
        <w:t>Prema</w:t>
      </w:r>
      <w:r>
        <w:rPr>
          <w:spacing w:val="-12"/>
        </w:rPr>
        <w:t xml:space="preserve"> </w:t>
      </w:r>
      <w:r>
        <w:t>podacima</w:t>
      </w:r>
      <w:r>
        <w:rPr>
          <w:spacing w:val="-12"/>
        </w:rPr>
        <w:t xml:space="preserve"> </w:t>
      </w:r>
      <w:r>
        <w:t>iz</w:t>
      </w:r>
      <w:r>
        <w:rPr>
          <w:spacing w:val="-11"/>
        </w:rPr>
        <w:t xml:space="preserve"> </w:t>
      </w:r>
      <w:r>
        <w:t>financijskih</w:t>
      </w:r>
      <w:r>
        <w:rPr>
          <w:spacing w:val="-10"/>
        </w:rPr>
        <w:t xml:space="preserve"> </w:t>
      </w:r>
      <w:r>
        <w:t>izvještaja</w:t>
      </w:r>
      <w:r>
        <w:rPr>
          <w:spacing w:val="-14"/>
        </w:rPr>
        <w:t xml:space="preserve"> </w:t>
      </w:r>
      <w:r w:rsidR="003C1F14">
        <w:t xml:space="preserve">Općine Vidovec </w:t>
      </w:r>
      <w:r>
        <w:rPr>
          <w:spacing w:val="-10"/>
        </w:rPr>
        <w:t xml:space="preserve"> </w:t>
      </w:r>
      <w:r>
        <w:t>proteklih</w:t>
      </w:r>
      <w:r>
        <w:rPr>
          <w:spacing w:val="-10"/>
        </w:rPr>
        <w:t xml:space="preserve"> </w:t>
      </w:r>
      <w:r>
        <w:t>godina</w:t>
      </w:r>
      <w:r>
        <w:rPr>
          <w:spacing w:val="-11"/>
        </w:rPr>
        <w:t xml:space="preserve"> </w:t>
      </w:r>
      <w:r>
        <w:t>vidljivo</w:t>
      </w:r>
      <w:r>
        <w:rPr>
          <w:spacing w:val="-10"/>
        </w:rPr>
        <w:t xml:space="preserve"> </w:t>
      </w:r>
      <w:r>
        <w:t>je</w:t>
      </w:r>
      <w:r>
        <w:rPr>
          <w:spacing w:val="-12"/>
        </w:rPr>
        <w:t xml:space="preserve"> </w:t>
      </w:r>
      <w:r w:rsidR="003C1F14">
        <w:t>da je Općina zadnji puta ostvarila</w:t>
      </w:r>
      <w:r>
        <w:t xml:space="preserve"> poziti</w:t>
      </w:r>
      <w:r w:rsidR="003C1F14">
        <w:t xml:space="preserve">van rezultat poslovanja za za razdoblje 01.01.-30.06.2019. godine (u iznosu </w:t>
      </w:r>
      <w:r w:rsidR="00854947">
        <w:t>5.089,48</w:t>
      </w:r>
      <w:r>
        <w:t xml:space="preserve"> ku</w:t>
      </w:r>
      <w:r w:rsidR="00854947">
        <w:t>na). Rezultat poslovanja za 01.01.-31.12.2019</w:t>
      </w:r>
      <w:r>
        <w:t>. godinu utvrđen j</w:t>
      </w:r>
      <w:r w:rsidR="00854947">
        <w:t>e kao manjak u iznosu -404.307,86 kuna</w:t>
      </w:r>
      <w:r>
        <w:t>, a rezultati svih narednih godine (do danas) kontinuirano bilježe negativan predznak. U tom vremenskom razdoblju vrijednosno najznačajniji je manjak utvr</w:t>
      </w:r>
      <w:r w:rsidR="00854947">
        <w:t>đen sa stanjem na dan 31.12.2021</w:t>
      </w:r>
      <w:r w:rsidR="00014657">
        <w:t xml:space="preserve">. godine – u iznosu </w:t>
      </w:r>
      <w:r w:rsidR="00E95063">
        <w:t xml:space="preserve">od                </w:t>
      </w:r>
      <w:r w:rsidR="00014657">
        <w:t>-2.766.528,90</w:t>
      </w:r>
      <w:r>
        <w:rPr>
          <w:spacing w:val="-2"/>
        </w:rPr>
        <w:t xml:space="preserve"> </w:t>
      </w:r>
      <w:r w:rsidR="00014657">
        <w:t>kuna</w:t>
      </w:r>
      <w:r>
        <w:t>.</w:t>
      </w:r>
    </w:p>
    <w:p w:rsidR="00877358" w:rsidRDefault="0065564B">
      <w:pPr>
        <w:pStyle w:val="Tijeloteksta"/>
        <w:spacing w:before="161" w:line="259" w:lineRule="auto"/>
        <w:ind w:left="115" w:right="114" w:firstLine="707"/>
        <w:jc w:val="both"/>
      </w:pPr>
      <w:r>
        <w:t>U</w:t>
      </w:r>
      <w:r>
        <w:rPr>
          <w:spacing w:val="-9"/>
        </w:rPr>
        <w:t xml:space="preserve"> </w:t>
      </w:r>
      <w:r>
        <w:t>nastavku</w:t>
      </w:r>
      <w:r>
        <w:rPr>
          <w:spacing w:val="-8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daju</w:t>
      </w:r>
      <w:r>
        <w:rPr>
          <w:spacing w:val="-9"/>
        </w:rPr>
        <w:t xml:space="preserve"> </w:t>
      </w:r>
      <w:r>
        <w:t>podaci</w:t>
      </w:r>
      <w:r>
        <w:rPr>
          <w:spacing w:val="-7"/>
        </w:rPr>
        <w:t xml:space="preserve"> </w:t>
      </w:r>
      <w:r>
        <w:t>prenesenog</w:t>
      </w:r>
      <w:r>
        <w:rPr>
          <w:spacing w:val="-10"/>
        </w:rPr>
        <w:t xml:space="preserve"> </w:t>
      </w:r>
      <w:r>
        <w:t>(korigiranog)</w:t>
      </w:r>
      <w:r>
        <w:rPr>
          <w:spacing w:val="-6"/>
        </w:rPr>
        <w:t xml:space="preserve"> </w:t>
      </w:r>
      <w:r>
        <w:t>negativnog</w:t>
      </w:r>
      <w:r>
        <w:rPr>
          <w:spacing w:val="-11"/>
        </w:rPr>
        <w:t xml:space="preserve"> </w:t>
      </w:r>
      <w:r>
        <w:t>rezultata</w:t>
      </w:r>
      <w:r>
        <w:rPr>
          <w:spacing w:val="-7"/>
        </w:rPr>
        <w:t xml:space="preserve"> </w:t>
      </w:r>
      <w:r>
        <w:t>iz</w:t>
      </w:r>
      <w:r>
        <w:rPr>
          <w:spacing w:val="-7"/>
        </w:rPr>
        <w:t xml:space="preserve"> </w:t>
      </w:r>
      <w:r>
        <w:t>prethodne godine, ostvareni iznos prihoda i primitaka, realiziranih rashoda i izdataka, te rezultat na kraju godine.</w:t>
      </w:r>
      <w:r>
        <w:rPr>
          <w:spacing w:val="-15"/>
        </w:rPr>
        <w:t xml:space="preserve"> </w:t>
      </w:r>
      <w:r>
        <w:t>Godišnji</w:t>
      </w:r>
      <w:r>
        <w:rPr>
          <w:spacing w:val="-17"/>
        </w:rPr>
        <w:t xml:space="preserve"> </w:t>
      </w:r>
      <w:r>
        <w:t>podaci</w:t>
      </w:r>
      <w:r>
        <w:rPr>
          <w:spacing w:val="-17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navode</w:t>
      </w:r>
      <w:r>
        <w:rPr>
          <w:spacing w:val="-15"/>
        </w:rPr>
        <w:t xml:space="preserve"> </w:t>
      </w:r>
      <w:r>
        <w:t>počevši</w:t>
      </w:r>
      <w:r>
        <w:rPr>
          <w:spacing w:val="-17"/>
        </w:rPr>
        <w:t xml:space="preserve"> </w:t>
      </w:r>
      <w:r>
        <w:t>od</w:t>
      </w:r>
      <w:r>
        <w:rPr>
          <w:spacing w:val="-16"/>
        </w:rPr>
        <w:t xml:space="preserve"> </w:t>
      </w:r>
      <w:r w:rsidR="00014657">
        <w:t>2017</w:t>
      </w:r>
      <w:r>
        <w:t>.</w:t>
      </w:r>
      <w:r>
        <w:rPr>
          <w:spacing w:val="-15"/>
        </w:rPr>
        <w:t xml:space="preserve"> </w:t>
      </w:r>
      <w:r>
        <w:t>godine,</w:t>
      </w:r>
      <w:r>
        <w:rPr>
          <w:spacing w:val="-15"/>
        </w:rPr>
        <w:t xml:space="preserve"> </w:t>
      </w:r>
      <w:r>
        <w:t>dok</w:t>
      </w:r>
      <w:r>
        <w:rPr>
          <w:spacing w:val="-16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u</w:t>
      </w:r>
      <w:r>
        <w:rPr>
          <w:spacing w:val="-18"/>
        </w:rPr>
        <w:t xml:space="preserve"> </w:t>
      </w:r>
      <w:r>
        <w:t>posljednjem</w:t>
      </w:r>
      <w:r>
        <w:rPr>
          <w:spacing w:val="-17"/>
        </w:rPr>
        <w:t xml:space="preserve"> </w:t>
      </w:r>
      <w:r>
        <w:t>retku</w:t>
      </w:r>
      <w:r>
        <w:rPr>
          <w:spacing w:val="-16"/>
        </w:rPr>
        <w:t xml:space="preserve"> </w:t>
      </w:r>
      <w:r>
        <w:t>nalaze podaci za razdoblje 01.01. –</w:t>
      </w:r>
      <w:r>
        <w:rPr>
          <w:spacing w:val="-4"/>
        </w:rPr>
        <w:t xml:space="preserve"> </w:t>
      </w:r>
      <w:r w:rsidR="00014657">
        <w:t>31.12</w:t>
      </w:r>
      <w:r>
        <w:t>.2021.:</w:t>
      </w:r>
    </w:p>
    <w:p w:rsidR="00877358" w:rsidRDefault="00877358">
      <w:pPr>
        <w:pStyle w:val="Tijeloteksta"/>
        <w:spacing w:before="6"/>
        <w:rPr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1982"/>
        <w:gridCol w:w="2268"/>
        <w:gridCol w:w="2153"/>
        <w:gridCol w:w="1812"/>
      </w:tblGrid>
      <w:tr w:rsidR="00877358">
        <w:trPr>
          <w:trHeight w:val="505"/>
        </w:trPr>
        <w:tc>
          <w:tcPr>
            <w:tcW w:w="847" w:type="dxa"/>
          </w:tcPr>
          <w:p w:rsidR="00877358" w:rsidRDefault="0065564B">
            <w:pPr>
              <w:pStyle w:val="TableParagraph"/>
              <w:ind w:left="175"/>
              <w:rPr>
                <w:b/>
              </w:rPr>
            </w:pPr>
            <w:r>
              <w:rPr>
                <w:b/>
              </w:rPr>
              <w:t>God.</w:t>
            </w:r>
          </w:p>
        </w:tc>
        <w:tc>
          <w:tcPr>
            <w:tcW w:w="1982" w:type="dxa"/>
          </w:tcPr>
          <w:p w:rsidR="00877358" w:rsidRDefault="0065564B">
            <w:pPr>
              <w:pStyle w:val="TableParagraph"/>
              <w:ind w:left="445" w:right="435"/>
              <w:jc w:val="center"/>
              <w:rPr>
                <w:b/>
              </w:rPr>
            </w:pPr>
            <w:r>
              <w:rPr>
                <w:b/>
              </w:rPr>
              <w:t>Preneseni</w:t>
            </w:r>
          </w:p>
          <w:p w:rsidR="00877358" w:rsidRDefault="0065564B">
            <w:pPr>
              <w:pStyle w:val="TableParagraph"/>
              <w:spacing w:before="1" w:line="232" w:lineRule="exact"/>
              <w:ind w:left="445" w:right="434"/>
              <w:jc w:val="center"/>
              <w:rPr>
                <w:b/>
              </w:rPr>
            </w:pPr>
            <w:r>
              <w:rPr>
                <w:b/>
              </w:rPr>
              <w:t>rezultat</w:t>
            </w:r>
          </w:p>
        </w:tc>
        <w:tc>
          <w:tcPr>
            <w:tcW w:w="2268" w:type="dxa"/>
          </w:tcPr>
          <w:p w:rsidR="00877358" w:rsidRDefault="0065564B">
            <w:pPr>
              <w:pStyle w:val="TableParagraph"/>
              <w:ind w:left="305"/>
              <w:rPr>
                <w:b/>
              </w:rPr>
            </w:pPr>
            <w:r>
              <w:rPr>
                <w:b/>
              </w:rPr>
              <w:t>Prihodi i primici</w:t>
            </w:r>
          </w:p>
        </w:tc>
        <w:tc>
          <w:tcPr>
            <w:tcW w:w="2153" w:type="dxa"/>
          </w:tcPr>
          <w:p w:rsidR="00877358" w:rsidRDefault="0065564B">
            <w:pPr>
              <w:pStyle w:val="TableParagraph"/>
              <w:ind w:left="245"/>
              <w:rPr>
                <w:b/>
              </w:rPr>
            </w:pPr>
            <w:r>
              <w:rPr>
                <w:b/>
              </w:rPr>
              <w:t>Rashodi i izdaci</w:t>
            </w:r>
          </w:p>
        </w:tc>
        <w:tc>
          <w:tcPr>
            <w:tcW w:w="1812" w:type="dxa"/>
          </w:tcPr>
          <w:p w:rsidR="00877358" w:rsidRDefault="0065564B">
            <w:pPr>
              <w:pStyle w:val="TableParagraph"/>
              <w:ind w:left="477"/>
              <w:rPr>
                <w:b/>
              </w:rPr>
            </w:pPr>
            <w:r>
              <w:rPr>
                <w:b/>
              </w:rPr>
              <w:t>Rezultat</w:t>
            </w:r>
          </w:p>
        </w:tc>
      </w:tr>
      <w:tr w:rsidR="00877358">
        <w:trPr>
          <w:trHeight w:val="251"/>
        </w:trPr>
        <w:tc>
          <w:tcPr>
            <w:tcW w:w="847" w:type="dxa"/>
          </w:tcPr>
          <w:p w:rsidR="00877358" w:rsidRDefault="0065564B">
            <w:pPr>
              <w:pStyle w:val="TableParagraph"/>
              <w:spacing w:line="232" w:lineRule="exact"/>
              <w:ind w:left="110"/>
            </w:pPr>
            <w:r>
              <w:t>2017.</w:t>
            </w:r>
          </w:p>
        </w:tc>
        <w:tc>
          <w:tcPr>
            <w:tcW w:w="1982" w:type="dxa"/>
          </w:tcPr>
          <w:p w:rsidR="00877358" w:rsidRDefault="00E95063">
            <w:pPr>
              <w:pStyle w:val="TableParagraph"/>
              <w:spacing w:line="232" w:lineRule="exact"/>
              <w:ind w:right="91"/>
              <w:jc w:val="right"/>
            </w:pPr>
            <w:r>
              <w:t>-2.308.246,00</w:t>
            </w:r>
          </w:p>
        </w:tc>
        <w:tc>
          <w:tcPr>
            <w:tcW w:w="2268" w:type="dxa"/>
          </w:tcPr>
          <w:p w:rsidR="00877358" w:rsidRDefault="00E95063">
            <w:pPr>
              <w:pStyle w:val="TableParagraph"/>
              <w:spacing w:line="232" w:lineRule="exact"/>
              <w:ind w:right="91"/>
              <w:jc w:val="right"/>
            </w:pPr>
            <w:r>
              <w:t>8.278.484,94</w:t>
            </w:r>
          </w:p>
        </w:tc>
        <w:tc>
          <w:tcPr>
            <w:tcW w:w="2153" w:type="dxa"/>
          </w:tcPr>
          <w:p w:rsidR="00877358" w:rsidRDefault="00E95063">
            <w:pPr>
              <w:pStyle w:val="TableParagraph"/>
              <w:spacing w:line="232" w:lineRule="exact"/>
              <w:ind w:right="94"/>
              <w:jc w:val="right"/>
            </w:pPr>
            <w:r>
              <w:t>8.619.299,14</w:t>
            </w:r>
          </w:p>
        </w:tc>
        <w:tc>
          <w:tcPr>
            <w:tcW w:w="1812" w:type="dxa"/>
          </w:tcPr>
          <w:p w:rsidR="00877358" w:rsidRDefault="00E95063">
            <w:pPr>
              <w:pStyle w:val="TableParagraph"/>
              <w:spacing w:line="232" w:lineRule="exact"/>
              <w:ind w:right="93"/>
              <w:jc w:val="right"/>
            </w:pPr>
            <w:r>
              <w:t>-2.649.060,20</w:t>
            </w:r>
          </w:p>
        </w:tc>
      </w:tr>
      <w:tr w:rsidR="00877358">
        <w:trPr>
          <w:trHeight w:val="254"/>
        </w:trPr>
        <w:tc>
          <w:tcPr>
            <w:tcW w:w="847" w:type="dxa"/>
          </w:tcPr>
          <w:p w:rsidR="00877358" w:rsidRDefault="0065564B">
            <w:pPr>
              <w:pStyle w:val="TableParagraph"/>
              <w:spacing w:before="2" w:line="232" w:lineRule="exact"/>
              <w:ind w:left="110"/>
            </w:pPr>
            <w:r>
              <w:t>2018.</w:t>
            </w:r>
          </w:p>
        </w:tc>
        <w:tc>
          <w:tcPr>
            <w:tcW w:w="1982" w:type="dxa"/>
          </w:tcPr>
          <w:p w:rsidR="00877358" w:rsidRDefault="00E95063">
            <w:pPr>
              <w:pStyle w:val="TableParagraph"/>
              <w:spacing w:before="2" w:line="232" w:lineRule="exact"/>
              <w:ind w:right="91"/>
              <w:jc w:val="right"/>
            </w:pPr>
            <w:r>
              <w:t>-2.663.478,51</w:t>
            </w:r>
          </w:p>
        </w:tc>
        <w:tc>
          <w:tcPr>
            <w:tcW w:w="2268" w:type="dxa"/>
          </w:tcPr>
          <w:p w:rsidR="00877358" w:rsidRDefault="00E95063">
            <w:pPr>
              <w:pStyle w:val="TableParagraph"/>
              <w:spacing w:before="2" w:line="232" w:lineRule="exact"/>
              <w:ind w:right="91"/>
              <w:jc w:val="right"/>
            </w:pPr>
            <w:r>
              <w:t>10.678.785,36</w:t>
            </w:r>
          </w:p>
        </w:tc>
        <w:tc>
          <w:tcPr>
            <w:tcW w:w="2153" w:type="dxa"/>
          </w:tcPr>
          <w:p w:rsidR="00877358" w:rsidRDefault="00E95063">
            <w:pPr>
              <w:pStyle w:val="TableParagraph"/>
              <w:spacing w:before="2" w:line="232" w:lineRule="exact"/>
              <w:ind w:right="94"/>
              <w:jc w:val="right"/>
            </w:pPr>
            <w:r>
              <w:t>8.179.658,99</w:t>
            </w:r>
          </w:p>
        </w:tc>
        <w:tc>
          <w:tcPr>
            <w:tcW w:w="1812" w:type="dxa"/>
          </w:tcPr>
          <w:p w:rsidR="00877358" w:rsidRDefault="00E95063">
            <w:pPr>
              <w:pStyle w:val="TableParagraph"/>
              <w:spacing w:before="2" w:line="232" w:lineRule="exact"/>
              <w:ind w:right="93"/>
              <w:jc w:val="right"/>
            </w:pPr>
            <w:r>
              <w:t>-164.352,14</w:t>
            </w:r>
          </w:p>
        </w:tc>
      </w:tr>
      <w:tr w:rsidR="00877358">
        <w:trPr>
          <w:trHeight w:val="253"/>
        </w:trPr>
        <w:tc>
          <w:tcPr>
            <w:tcW w:w="847" w:type="dxa"/>
          </w:tcPr>
          <w:p w:rsidR="00877358" w:rsidRDefault="0065564B">
            <w:pPr>
              <w:pStyle w:val="TableParagraph"/>
              <w:spacing w:line="234" w:lineRule="exact"/>
              <w:ind w:left="110"/>
            </w:pPr>
            <w:r>
              <w:t>2019.</w:t>
            </w:r>
          </w:p>
        </w:tc>
        <w:tc>
          <w:tcPr>
            <w:tcW w:w="1982" w:type="dxa"/>
          </w:tcPr>
          <w:p w:rsidR="00877358" w:rsidRDefault="00417848">
            <w:pPr>
              <w:pStyle w:val="TableParagraph"/>
              <w:spacing w:line="234" w:lineRule="exact"/>
              <w:ind w:right="91"/>
              <w:jc w:val="right"/>
            </w:pPr>
            <w:r>
              <w:t>-167.648,42</w:t>
            </w:r>
          </w:p>
        </w:tc>
        <w:tc>
          <w:tcPr>
            <w:tcW w:w="2268" w:type="dxa"/>
          </w:tcPr>
          <w:p w:rsidR="00877358" w:rsidRDefault="00417848">
            <w:pPr>
              <w:pStyle w:val="TableParagraph"/>
              <w:spacing w:line="234" w:lineRule="exact"/>
              <w:ind w:right="91"/>
              <w:jc w:val="right"/>
            </w:pPr>
            <w:r>
              <w:t>18.891.146,18</w:t>
            </w:r>
          </w:p>
        </w:tc>
        <w:tc>
          <w:tcPr>
            <w:tcW w:w="2153" w:type="dxa"/>
          </w:tcPr>
          <w:p w:rsidR="00877358" w:rsidRDefault="00417848">
            <w:pPr>
              <w:pStyle w:val="TableParagraph"/>
              <w:spacing w:line="234" w:lineRule="exact"/>
              <w:ind w:right="94"/>
              <w:jc w:val="right"/>
            </w:pPr>
            <w:r>
              <w:t>19.127.805,62</w:t>
            </w:r>
          </w:p>
        </w:tc>
        <w:tc>
          <w:tcPr>
            <w:tcW w:w="1812" w:type="dxa"/>
          </w:tcPr>
          <w:p w:rsidR="00877358" w:rsidRDefault="005902E8">
            <w:pPr>
              <w:pStyle w:val="TableParagraph"/>
              <w:spacing w:line="234" w:lineRule="exact"/>
              <w:ind w:right="94"/>
              <w:jc w:val="right"/>
            </w:pPr>
            <w:r>
              <w:t>-404.307,86</w:t>
            </w:r>
          </w:p>
        </w:tc>
      </w:tr>
      <w:tr w:rsidR="00877358">
        <w:trPr>
          <w:trHeight w:val="251"/>
        </w:trPr>
        <w:tc>
          <w:tcPr>
            <w:tcW w:w="847" w:type="dxa"/>
          </w:tcPr>
          <w:p w:rsidR="00877358" w:rsidRDefault="0065564B">
            <w:pPr>
              <w:pStyle w:val="TableParagraph"/>
              <w:spacing w:line="232" w:lineRule="exact"/>
              <w:ind w:left="110"/>
            </w:pPr>
            <w:r>
              <w:t>2020.</w:t>
            </w:r>
          </w:p>
        </w:tc>
        <w:tc>
          <w:tcPr>
            <w:tcW w:w="1982" w:type="dxa"/>
          </w:tcPr>
          <w:p w:rsidR="00877358" w:rsidRDefault="005902E8">
            <w:pPr>
              <w:pStyle w:val="TableParagraph"/>
              <w:spacing w:line="232" w:lineRule="exact"/>
              <w:ind w:right="91"/>
              <w:jc w:val="right"/>
            </w:pPr>
            <w:r>
              <w:t>-404.307,86</w:t>
            </w:r>
          </w:p>
        </w:tc>
        <w:tc>
          <w:tcPr>
            <w:tcW w:w="2268" w:type="dxa"/>
          </w:tcPr>
          <w:p w:rsidR="00877358" w:rsidRDefault="005902E8">
            <w:pPr>
              <w:pStyle w:val="TableParagraph"/>
              <w:spacing w:line="232" w:lineRule="exact"/>
              <w:ind w:right="91"/>
              <w:jc w:val="right"/>
            </w:pPr>
            <w:r>
              <w:t>19.923.762,64</w:t>
            </w:r>
          </w:p>
        </w:tc>
        <w:tc>
          <w:tcPr>
            <w:tcW w:w="2153" w:type="dxa"/>
          </w:tcPr>
          <w:p w:rsidR="00877358" w:rsidRDefault="005902E8">
            <w:pPr>
              <w:pStyle w:val="TableParagraph"/>
              <w:spacing w:line="232" w:lineRule="exact"/>
              <w:ind w:right="94"/>
              <w:jc w:val="right"/>
            </w:pPr>
            <w:r>
              <w:t>20.103.595,99</w:t>
            </w:r>
          </w:p>
        </w:tc>
        <w:tc>
          <w:tcPr>
            <w:tcW w:w="1812" w:type="dxa"/>
          </w:tcPr>
          <w:p w:rsidR="00877358" w:rsidRDefault="005902E8" w:rsidP="005902E8">
            <w:pPr>
              <w:pStyle w:val="TableParagraph"/>
              <w:spacing w:line="232" w:lineRule="exact"/>
              <w:ind w:right="94"/>
              <w:jc w:val="right"/>
            </w:pPr>
            <w:r>
              <w:t>-584.141,21</w:t>
            </w:r>
          </w:p>
        </w:tc>
      </w:tr>
      <w:tr w:rsidR="00877358">
        <w:trPr>
          <w:trHeight w:val="251"/>
        </w:trPr>
        <w:tc>
          <w:tcPr>
            <w:tcW w:w="847" w:type="dxa"/>
          </w:tcPr>
          <w:p w:rsidR="00877358" w:rsidRDefault="0065564B">
            <w:pPr>
              <w:pStyle w:val="TableParagraph"/>
              <w:spacing w:line="232" w:lineRule="exact"/>
              <w:ind w:left="110"/>
            </w:pPr>
            <w:r>
              <w:t>2021.</w:t>
            </w:r>
          </w:p>
        </w:tc>
        <w:tc>
          <w:tcPr>
            <w:tcW w:w="1982" w:type="dxa"/>
          </w:tcPr>
          <w:p w:rsidR="00877358" w:rsidRDefault="00E95063">
            <w:pPr>
              <w:pStyle w:val="TableParagraph"/>
              <w:spacing w:line="232" w:lineRule="exact"/>
              <w:ind w:right="91"/>
              <w:jc w:val="right"/>
            </w:pPr>
            <w:r>
              <w:t>-</w:t>
            </w:r>
            <w:r w:rsidR="005902E8">
              <w:t>584.141,21</w:t>
            </w:r>
          </w:p>
        </w:tc>
        <w:tc>
          <w:tcPr>
            <w:tcW w:w="2268" w:type="dxa"/>
          </w:tcPr>
          <w:p w:rsidR="00877358" w:rsidRDefault="005902E8">
            <w:pPr>
              <w:pStyle w:val="TableParagraph"/>
              <w:spacing w:line="232" w:lineRule="exact"/>
              <w:ind w:right="91"/>
              <w:jc w:val="right"/>
            </w:pPr>
            <w:r>
              <w:t>13.916.284,42</w:t>
            </w:r>
          </w:p>
        </w:tc>
        <w:tc>
          <w:tcPr>
            <w:tcW w:w="2153" w:type="dxa"/>
          </w:tcPr>
          <w:p w:rsidR="00877358" w:rsidRDefault="005902E8">
            <w:pPr>
              <w:pStyle w:val="TableParagraph"/>
              <w:spacing w:line="232" w:lineRule="exact"/>
              <w:ind w:right="94"/>
              <w:jc w:val="right"/>
            </w:pPr>
            <w:r>
              <w:t>16.098.672,11</w:t>
            </w:r>
          </w:p>
        </w:tc>
        <w:tc>
          <w:tcPr>
            <w:tcW w:w="1812" w:type="dxa"/>
          </w:tcPr>
          <w:p w:rsidR="00877358" w:rsidRDefault="00E95063">
            <w:pPr>
              <w:pStyle w:val="TableParagraph"/>
              <w:spacing w:line="232" w:lineRule="exact"/>
              <w:ind w:right="93"/>
              <w:jc w:val="right"/>
            </w:pPr>
            <w:r>
              <w:t>-</w:t>
            </w:r>
            <w:r w:rsidR="005902E8">
              <w:t>2.766.528,90</w:t>
            </w:r>
          </w:p>
        </w:tc>
      </w:tr>
    </w:tbl>
    <w:p w:rsidR="00877358" w:rsidRDefault="00877358">
      <w:pPr>
        <w:pStyle w:val="Tijeloteksta"/>
        <w:rPr>
          <w:sz w:val="24"/>
        </w:rPr>
      </w:pPr>
    </w:p>
    <w:p w:rsidR="00877358" w:rsidRDefault="0065564B">
      <w:pPr>
        <w:pStyle w:val="Tijeloteksta"/>
        <w:spacing w:before="161" w:line="259" w:lineRule="auto"/>
        <w:ind w:left="115" w:right="111" w:firstLine="708"/>
        <w:jc w:val="both"/>
      </w:pPr>
      <w:r>
        <w:t>Iz navedenih je podataka vidljivo da su rashodi i izdaci (uvećano za preneseni manjak iz prethodne godine) tijekom proteklih godina konstantno bili veći od raspoloživih godišnjih prihoda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primitaka,</w:t>
      </w:r>
      <w:r>
        <w:rPr>
          <w:spacing w:val="-11"/>
        </w:rPr>
        <w:t xml:space="preserve"> </w:t>
      </w:r>
      <w:r>
        <w:t>što</w:t>
      </w:r>
      <w:r>
        <w:rPr>
          <w:spacing w:val="-13"/>
        </w:rPr>
        <w:t xml:space="preserve"> </w:t>
      </w:r>
      <w:r>
        <w:t>već</w:t>
      </w:r>
      <w:r>
        <w:rPr>
          <w:spacing w:val="-9"/>
        </w:rPr>
        <w:t xml:space="preserve"> </w:t>
      </w:r>
      <w:r>
        <w:t>godinama</w:t>
      </w:r>
      <w:r>
        <w:rPr>
          <w:spacing w:val="-15"/>
        </w:rPr>
        <w:t xml:space="preserve"> </w:t>
      </w:r>
      <w:r>
        <w:t>rezultira</w:t>
      </w:r>
      <w:r>
        <w:rPr>
          <w:spacing w:val="-12"/>
        </w:rPr>
        <w:t xml:space="preserve"> </w:t>
      </w:r>
      <w:r>
        <w:t>negativnim</w:t>
      </w:r>
      <w:r>
        <w:rPr>
          <w:spacing w:val="-11"/>
        </w:rPr>
        <w:t xml:space="preserve"> </w:t>
      </w:r>
      <w:r>
        <w:t>rezultatom</w:t>
      </w:r>
      <w:r>
        <w:rPr>
          <w:spacing w:val="-12"/>
        </w:rPr>
        <w:t xml:space="preserve"> </w:t>
      </w:r>
      <w:r>
        <w:t>poslovanja.</w:t>
      </w:r>
      <w:r>
        <w:rPr>
          <w:spacing w:val="-8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nastojanju da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postojeći</w:t>
      </w:r>
      <w:r>
        <w:rPr>
          <w:spacing w:val="-3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pružanju</w:t>
      </w:r>
      <w:r>
        <w:rPr>
          <w:spacing w:val="-5"/>
        </w:rPr>
        <w:t xml:space="preserve"> </w:t>
      </w:r>
      <w:r>
        <w:t>usluga</w:t>
      </w:r>
      <w:r>
        <w:rPr>
          <w:spacing w:val="-4"/>
        </w:rPr>
        <w:t xml:space="preserve"> </w:t>
      </w:r>
      <w:r>
        <w:t>građanima</w:t>
      </w:r>
      <w:r>
        <w:rPr>
          <w:spacing w:val="-2"/>
        </w:rPr>
        <w:t xml:space="preserve"> </w:t>
      </w:r>
      <w:r>
        <w:t>održi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istom</w:t>
      </w:r>
      <w:r>
        <w:rPr>
          <w:spacing w:val="-3"/>
        </w:rPr>
        <w:t xml:space="preserve"> </w:t>
      </w:r>
      <w:r>
        <w:t>nivou</w:t>
      </w:r>
      <w:r>
        <w:rPr>
          <w:spacing w:val="-3"/>
        </w:rPr>
        <w:t xml:space="preserve"> </w:t>
      </w:r>
      <w:r>
        <w:t>(ili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poveća), kao i da se iz proračuna ulaže</w:t>
      </w:r>
      <w:r w:rsidR="005902E8">
        <w:t xml:space="preserve"> u investicije na području Općine</w:t>
      </w:r>
      <w:r>
        <w:t>, svake se godine znatan iznos manjka prenosio u narednu godinu, bez mogućnosti da se te iste godine i</w:t>
      </w:r>
      <w:r>
        <w:rPr>
          <w:spacing w:val="-1"/>
        </w:rPr>
        <w:t xml:space="preserve"> </w:t>
      </w:r>
      <w:r>
        <w:t>pokrije.</w:t>
      </w:r>
    </w:p>
    <w:p w:rsidR="00877358" w:rsidRDefault="0065564B">
      <w:pPr>
        <w:pStyle w:val="Tijeloteksta"/>
        <w:spacing w:line="259" w:lineRule="auto"/>
        <w:ind w:left="116" w:right="112" w:firstLine="707"/>
        <w:jc w:val="both"/>
      </w:pPr>
      <w:r>
        <w:t>U</w:t>
      </w:r>
      <w:r>
        <w:rPr>
          <w:spacing w:val="-10"/>
        </w:rPr>
        <w:t xml:space="preserve"> </w:t>
      </w:r>
      <w:r>
        <w:t>težnji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utjecaj</w:t>
      </w:r>
      <w:r>
        <w:rPr>
          <w:spacing w:val="-7"/>
        </w:rPr>
        <w:t xml:space="preserve"> </w:t>
      </w:r>
      <w:r>
        <w:t>ostvarenog</w:t>
      </w:r>
      <w:r>
        <w:rPr>
          <w:spacing w:val="-9"/>
        </w:rPr>
        <w:t xml:space="preserve"> </w:t>
      </w:r>
      <w:r>
        <w:t>višegodišnjeg</w:t>
      </w:r>
      <w:r>
        <w:rPr>
          <w:spacing w:val="-10"/>
        </w:rPr>
        <w:t xml:space="preserve"> </w:t>
      </w:r>
      <w:r>
        <w:t>negativnog</w:t>
      </w:r>
      <w:r>
        <w:rPr>
          <w:spacing w:val="-10"/>
        </w:rPr>
        <w:t xml:space="preserve"> </w:t>
      </w:r>
      <w:r>
        <w:t>rezultata</w:t>
      </w:r>
      <w:r>
        <w:rPr>
          <w:spacing w:val="-10"/>
        </w:rPr>
        <w:t xml:space="preserve"> </w:t>
      </w:r>
      <w:r>
        <w:t>poslovanja</w:t>
      </w:r>
      <w:r>
        <w:rPr>
          <w:spacing w:val="-8"/>
        </w:rPr>
        <w:t xml:space="preserve"> </w:t>
      </w:r>
      <w:r>
        <w:t xml:space="preserve">ublaži, a da se ne naruši redovno podmirenje rashoda proračuna, </w:t>
      </w:r>
      <w:r w:rsidR="005902E8">
        <w:t>predlaže se da se manjak koji  je ostvaren</w:t>
      </w:r>
      <w:r>
        <w:t xml:space="preserve"> na kraju </w:t>
      </w:r>
      <w:r w:rsidR="005902E8">
        <w:t xml:space="preserve">2021. </w:t>
      </w:r>
      <w:r>
        <w:t>proračunske</w:t>
      </w:r>
      <w:r w:rsidR="005902E8">
        <w:t xml:space="preserve"> godine u iznosu od -2.766.528,90</w:t>
      </w:r>
      <w:r>
        <w:t xml:space="preserve"> kuna s</w:t>
      </w:r>
      <w:r w:rsidR="005902E8">
        <w:t>ukcesivno pokriva kroz naredne 2</w:t>
      </w:r>
      <w:r>
        <w:t xml:space="preserve"> godine, kako ne bi teretio isključivo 2022.</w:t>
      </w:r>
      <w:r>
        <w:rPr>
          <w:spacing w:val="-21"/>
        </w:rPr>
        <w:t xml:space="preserve"> </w:t>
      </w:r>
      <w:r>
        <w:t>godinu.</w:t>
      </w:r>
    </w:p>
    <w:p w:rsidR="00877358" w:rsidRDefault="00877358">
      <w:pPr>
        <w:spacing w:line="259" w:lineRule="auto"/>
        <w:jc w:val="both"/>
        <w:sectPr w:rsidR="00877358">
          <w:pgSz w:w="11910" w:h="16840"/>
          <w:pgMar w:top="1580" w:right="1300" w:bottom="1200" w:left="1300" w:header="0" w:footer="1002" w:gutter="0"/>
          <w:cols w:space="720"/>
        </w:sectPr>
      </w:pPr>
    </w:p>
    <w:p w:rsidR="00877358" w:rsidRDefault="0065564B">
      <w:pPr>
        <w:pStyle w:val="Naslov1"/>
        <w:spacing w:before="80" w:line="259" w:lineRule="auto"/>
        <w:ind w:left="115" w:right="117"/>
        <w:jc w:val="both"/>
      </w:pPr>
      <w:r>
        <w:lastRenderedPageBreak/>
        <w:t>PRIJEDLOG MJERA ZA OTKLANJANJE UZROKA NEGATIVNOG REZULTATA POSLOVANJA I MJERE ZA STABILNO I ODRŽIVO STANJE</w:t>
      </w:r>
    </w:p>
    <w:p w:rsidR="00877358" w:rsidRDefault="00877358">
      <w:pPr>
        <w:pStyle w:val="Tijeloteksta"/>
        <w:spacing w:before="9"/>
        <w:rPr>
          <w:b/>
          <w:sz w:val="23"/>
        </w:rPr>
      </w:pPr>
    </w:p>
    <w:p w:rsidR="00877358" w:rsidRDefault="0065564B">
      <w:pPr>
        <w:pStyle w:val="Tijeloteksta"/>
        <w:ind w:left="178"/>
        <w:jc w:val="both"/>
      </w:pPr>
      <w:r>
        <w:t>U svrhu navedenog predlažu se mjere kako slijedi:</w:t>
      </w:r>
    </w:p>
    <w:p w:rsidR="00877358" w:rsidRDefault="0065564B">
      <w:pPr>
        <w:pStyle w:val="Odlomakpopisa"/>
        <w:numPr>
          <w:ilvl w:val="2"/>
          <w:numId w:val="1"/>
        </w:numPr>
        <w:tabs>
          <w:tab w:val="left" w:pos="837"/>
        </w:tabs>
        <w:spacing w:before="18" w:line="256" w:lineRule="auto"/>
        <w:ind w:right="117"/>
      </w:pPr>
      <w:r>
        <w:t>Proračunom i projekcijama planirati sukcesivno višegodišnje podmirenje manjka u razdoblju 2022. –</w:t>
      </w:r>
      <w:r>
        <w:rPr>
          <w:spacing w:val="-3"/>
        </w:rPr>
        <w:t xml:space="preserve"> </w:t>
      </w:r>
      <w:r>
        <w:t>2024.</w:t>
      </w:r>
    </w:p>
    <w:p w:rsidR="00877358" w:rsidRDefault="0065564B">
      <w:pPr>
        <w:pStyle w:val="Odlomakpopisa"/>
        <w:numPr>
          <w:ilvl w:val="2"/>
          <w:numId w:val="1"/>
        </w:numPr>
        <w:tabs>
          <w:tab w:val="left" w:pos="837"/>
        </w:tabs>
        <w:spacing w:before="3" w:line="259" w:lineRule="auto"/>
        <w:ind w:right="110"/>
      </w:pPr>
      <w:r>
        <w:t>Izmjenama i dopunama proračuna za 2022. godinu planirati pokriće manjka (utvrditi razliku između procijenjenog dijela manjka za pokriće u 2022. i utvrđenog rezultata po godišnjem obračunu za 2021. godinu, te s iznosom stvarnog rezultata uravnotežiti proračun za</w:t>
      </w:r>
      <w:r>
        <w:rPr>
          <w:spacing w:val="-2"/>
        </w:rPr>
        <w:t xml:space="preserve"> </w:t>
      </w:r>
      <w:r>
        <w:t>2022.)</w:t>
      </w:r>
    </w:p>
    <w:p w:rsidR="00877358" w:rsidRDefault="0065564B">
      <w:pPr>
        <w:pStyle w:val="Odlomakpopisa"/>
        <w:numPr>
          <w:ilvl w:val="2"/>
          <w:numId w:val="1"/>
        </w:numPr>
        <w:tabs>
          <w:tab w:val="left" w:pos="837"/>
        </w:tabs>
        <w:spacing w:line="256" w:lineRule="auto"/>
        <w:ind w:right="116"/>
      </w:pPr>
      <w:r>
        <w:t>Kontinuirano pratiti ostvarenje prihoda i pravodobno poduzimati sve mjere naplate potraživanja</w:t>
      </w:r>
    </w:p>
    <w:p w:rsidR="00877358" w:rsidRDefault="0065564B">
      <w:pPr>
        <w:pStyle w:val="Odlomakpopisa"/>
        <w:numPr>
          <w:ilvl w:val="2"/>
          <w:numId w:val="1"/>
        </w:numPr>
        <w:tabs>
          <w:tab w:val="left" w:pos="838"/>
        </w:tabs>
        <w:ind w:left="837" w:hanging="362"/>
      </w:pPr>
      <w:r>
        <w:t>Preuzimati obveze proračuna razumno i u skladu s mogućnostima</w:t>
      </w:r>
      <w:r>
        <w:rPr>
          <w:spacing w:val="-17"/>
        </w:rPr>
        <w:t xml:space="preserve"> </w:t>
      </w:r>
      <w:r>
        <w:t>proračuna</w:t>
      </w:r>
    </w:p>
    <w:p w:rsidR="00877358" w:rsidRDefault="0065564B">
      <w:pPr>
        <w:pStyle w:val="Odlomakpopisa"/>
        <w:numPr>
          <w:ilvl w:val="2"/>
          <w:numId w:val="1"/>
        </w:numPr>
        <w:tabs>
          <w:tab w:val="left" w:pos="838"/>
        </w:tabs>
        <w:spacing w:before="16" w:line="256" w:lineRule="auto"/>
        <w:ind w:left="837" w:right="112"/>
      </w:pPr>
      <w:r>
        <w:t>Racionalizirati poslovanje te pojačano voditi računa o opravdanosti i ekonomičnosti svih rashoda</w:t>
      </w:r>
      <w:r>
        <w:rPr>
          <w:spacing w:val="-3"/>
        </w:rPr>
        <w:t xml:space="preserve"> </w:t>
      </w:r>
      <w:r>
        <w:t>proračuna</w:t>
      </w:r>
    </w:p>
    <w:p w:rsidR="00877358" w:rsidRDefault="00877358">
      <w:pPr>
        <w:pStyle w:val="Tijeloteksta"/>
        <w:rPr>
          <w:sz w:val="24"/>
        </w:rPr>
      </w:pPr>
    </w:p>
    <w:p w:rsidR="00877358" w:rsidRDefault="00877358">
      <w:pPr>
        <w:pStyle w:val="Tijeloteksta"/>
        <w:spacing w:before="7"/>
        <w:rPr>
          <w:sz w:val="23"/>
        </w:rPr>
      </w:pPr>
    </w:p>
    <w:p w:rsidR="00877358" w:rsidRDefault="0065564B">
      <w:pPr>
        <w:pStyle w:val="Naslov1"/>
        <w:ind w:left="117" w:right="0"/>
        <w:jc w:val="both"/>
      </w:pPr>
      <w:r>
        <w:t>AKCIJSKI PLAN PROVEDBI MJERA</w:t>
      </w:r>
    </w:p>
    <w:p w:rsidR="00877358" w:rsidRDefault="00877358">
      <w:pPr>
        <w:pStyle w:val="Tijeloteksta"/>
        <w:spacing w:before="5"/>
        <w:rPr>
          <w:b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9"/>
        <w:gridCol w:w="3021"/>
        <w:gridCol w:w="3021"/>
      </w:tblGrid>
      <w:tr w:rsidR="00877358">
        <w:trPr>
          <w:trHeight w:val="491"/>
        </w:trPr>
        <w:tc>
          <w:tcPr>
            <w:tcW w:w="3019" w:type="dxa"/>
          </w:tcPr>
          <w:p w:rsidR="00877358" w:rsidRDefault="0065564B">
            <w:pPr>
              <w:pStyle w:val="TableParagraph"/>
              <w:spacing w:before="119"/>
              <w:ind w:left="901"/>
              <w:rPr>
                <w:b/>
              </w:rPr>
            </w:pPr>
            <w:r>
              <w:rPr>
                <w:b/>
              </w:rPr>
              <w:t>Naziv mjere</w:t>
            </w:r>
          </w:p>
        </w:tc>
        <w:tc>
          <w:tcPr>
            <w:tcW w:w="3021" w:type="dxa"/>
          </w:tcPr>
          <w:p w:rsidR="00877358" w:rsidRDefault="0065564B">
            <w:pPr>
              <w:pStyle w:val="TableParagraph"/>
              <w:spacing w:before="119"/>
              <w:ind w:left="687"/>
              <w:rPr>
                <w:b/>
              </w:rPr>
            </w:pPr>
            <w:r>
              <w:rPr>
                <w:b/>
              </w:rPr>
              <w:t>Način provedbe</w:t>
            </w:r>
          </w:p>
        </w:tc>
        <w:tc>
          <w:tcPr>
            <w:tcW w:w="3021" w:type="dxa"/>
          </w:tcPr>
          <w:p w:rsidR="00877358" w:rsidRDefault="0065564B">
            <w:pPr>
              <w:pStyle w:val="TableParagraph"/>
              <w:spacing w:before="119"/>
              <w:ind w:left="781"/>
              <w:rPr>
                <w:b/>
              </w:rPr>
            </w:pPr>
            <w:r>
              <w:rPr>
                <w:b/>
              </w:rPr>
              <w:t>Rok provedbe</w:t>
            </w:r>
          </w:p>
        </w:tc>
      </w:tr>
      <w:tr w:rsidR="00877358">
        <w:trPr>
          <w:trHeight w:val="1012"/>
        </w:trPr>
        <w:tc>
          <w:tcPr>
            <w:tcW w:w="3019" w:type="dxa"/>
          </w:tcPr>
          <w:p w:rsidR="00877358" w:rsidRDefault="0065564B">
            <w:pPr>
              <w:pStyle w:val="TableParagraph"/>
              <w:ind w:left="110" w:right="274"/>
            </w:pPr>
            <w:r>
              <w:t>Proračunom i projekcijama planirati sukcesivno višegodišnje podmirenje</w:t>
            </w:r>
          </w:p>
          <w:p w:rsidR="00877358" w:rsidRDefault="0065564B">
            <w:pPr>
              <w:pStyle w:val="TableParagraph"/>
              <w:spacing w:line="234" w:lineRule="exact"/>
              <w:ind w:left="110"/>
            </w:pPr>
            <w:r>
              <w:t>manjka</w:t>
            </w:r>
          </w:p>
        </w:tc>
        <w:tc>
          <w:tcPr>
            <w:tcW w:w="3021" w:type="dxa"/>
            <w:vMerge w:val="restart"/>
          </w:tcPr>
          <w:p w:rsidR="00877358" w:rsidRDefault="0065564B">
            <w:pPr>
              <w:pStyle w:val="TableParagraph"/>
              <w:spacing w:before="132"/>
              <w:ind w:left="110" w:right="141"/>
            </w:pPr>
            <w:r>
              <w:t>Proračun koji uključuje rezultat poslovanja pruža cjelovit financijski okvir za donošenje odluka o budućoj potrošnji i izvorima financiranja</w:t>
            </w:r>
          </w:p>
        </w:tc>
        <w:tc>
          <w:tcPr>
            <w:tcW w:w="3021" w:type="dxa"/>
            <w:vMerge w:val="restart"/>
          </w:tcPr>
          <w:p w:rsidR="00877358" w:rsidRDefault="00877358">
            <w:pPr>
              <w:pStyle w:val="TableParagraph"/>
              <w:spacing w:before="4"/>
              <w:rPr>
                <w:b/>
                <w:sz w:val="33"/>
              </w:rPr>
            </w:pPr>
          </w:p>
          <w:p w:rsidR="00877358" w:rsidRDefault="0065564B">
            <w:pPr>
              <w:pStyle w:val="TableParagraph"/>
              <w:ind w:left="111" w:right="90"/>
              <w:jc w:val="both"/>
            </w:pPr>
            <w:r>
              <w:t>U rokovima za donošenje proračuna s projekcijama, te donošenje izmjena i dopuna proračuna</w:t>
            </w:r>
          </w:p>
        </w:tc>
      </w:tr>
      <w:tr w:rsidR="00877358">
        <w:trPr>
          <w:trHeight w:val="757"/>
        </w:trPr>
        <w:tc>
          <w:tcPr>
            <w:tcW w:w="3019" w:type="dxa"/>
          </w:tcPr>
          <w:p w:rsidR="00877358" w:rsidRDefault="0065564B">
            <w:pPr>
              <w:pStyle w:val="TableParagraph"/>
              <w:ind w:left="110" w:right="261"/>
            </w:pPr>
            <w:r>
              <w:t>Izmjenama i dopunama proračuna za 2022. godinu</w:t>
            </w:r>
          </w:p>
          <w:p w:rsidR="00877358" w:rsidRDefault="0065564B">
            <w:pPr>
              <w:pStyle w:val="TableParagraph"/>
              <w:spacing w:line="232" w:lineRule="exact"/>
              <w:ind w:left="110"/>
            </w:pPr>
            <w:r>
              <w:t>planirati pokriće manjka</w:t>
            </w:r>
          </w:p>
        </w:tc>
        <w:tc>
          <w:tcPr>
            <w:tcW w:w="3021" w:type="dxa"/>
            <w:vMerge/>
            <w:tcBorders>
              <w:top w:val="nil"/>
            </w:tcBorders>
          </w:tcPr>
          <w:p w:rsidR="00877358" w:rsidRDefault="00877358"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vMerge/>
            <w:tcBorders>
              <w:top w:val="nil"/>
            </w:tcBorders>
          </w:tcPr>
          <w:p w:rsidR="00877358" w:rsidRDefault="00877358">
            <w:pPr>
              <w:rPr>
                <w:sz w:val="2"/>
                <w:szCs w:val="2"/>
              </w:rPr>
            </w:pPr>
          </w:p>
        </w:tc>
      </w:tr>
      <w:tr w:rsidR="00877358">
        <w:trPr>
          <w:trHeight w:val="1264"/>
        </w:trPr>
        <w:tc>
          <w:tcPr>
            <w:tcW w:w="3019" w:type="dxa"/>
          </w:tcPr>
          <w:p w:rsidR="00877358" w:rsidRDefault="0065564B">
            <w:pPr>
              <w:pStyle w:val="TableParagraph"/>
              <w:spacing w:before="127"/>
              <w:ind w:left="110" w:right="420"/>
            </w:pPr>
            <w:r>
              <w:t>Kontinuirano pratiti ostvarenje prihoda i poduzimati mjere naplate potraživanja</w:t>
            </w:r>
          </w:p>
        </w:tc>
        <w:tc>
          <w:tcPr>
            <w:tcW w:w="3021" w:type="dxa"/>
          </w:tcPr>
          <w:p w:rsidR="00877358" w:rsidRDefault="0065564B">
            <w:pPr>
              <w:pStyle w:val="TableParagraph"/>
              <w:ind w:left="110" w:right="202"/>
            </w:pPr>
            <w:r>
              <w:t>Postupanje i potpuna primjena procedure za naplatu prihoda uz poduzimanje odgovarajućih</w:t>
            </w:r>
          </w:p>
          <w:p w:rsidR="00877358" w:rsidRDefault="0065564B">
            <w:pPr>
              <w:pStyle w:val="TableParagraph"/>
              <w:spacing w:line="232" w:lineRule="exact"/>
              <w:ind w:left="110"/>
            </w:pPr>
            <w:r>
              <w:t>mjera naplate</w:t>
            </w:r>
          </w:p>
        </w:tc>
        <w:tc>
          <w:tcPr>
            <w:tcW w:w="3021" w:type="dxa"/>
          </w:tcPr>
          <w:p w:rsidR="00877358" w:rsidRDefault="00877358">
            <w:pPr>
              <w:pStyle w:val="TableParagraph"/>
              <w:rPr>
                <w:b/>
                <w:sz w:val="24"/>
              </w:rPr>
            </w:pPr>
          </w:p>
          <w:p w:rsidR="00877358" w:rsidRDefault="00877358">
            <w:pPr>
              <w:pStyle w:val="TableParagraph"/>
              <w:rPr>
                <w:b/>
                <w:sz w:val="20"/>
              </w:rPr>
            </w:pPr>
          </w:p>
          <w:p w:rsidR="00877358" w:rsidRDefault="0065564B">
            <w:pPr>
              <w:pStyle w:val="TableParagraph"/>
              <w:ind w:left="111"/>
            </w:pPr>
            <w:r>
              <w:t>Kontinuirano</w:t>
            </w:r>
          </w:p>
        </w:tc>
      </w:tr>
      <w:tr w:rsidR="00877358">
        <w:trPr>
          <w:trHeight w:val="1264"/>
        </w:trPr>
        <w:tc>
          <w:tcPr>
            <w:tcW w:w="3019" w:type="dxa"/>
          </w:tcPr>
          <w:p w:rsidR="00877358" w:rsidRDefault="0065564B">
            <w:pPr>
              <w:pStyle w:val="TableParagraph"/>
              <w:spacing w:before="127"/>
              <w:ind w:left="110" w:right="580"/>
            </w:pPr>
            <w:r>
              <w:t>Preuzimati obveze proračuna razumno i u skladu s mogućnostima proračuna</w:t>
            </w:r>
          </w:p>
        </w:tc>
        <w:tc>
          <w:tcPr>
            <w:tcW w:w="3021" w:type="dxa"/>
          </w:tcPr>
          <w:p w:rsidR="00877358" w:rsidRDefault="0065564B">
            <w:pPr>
              <w:pStyle w:val="TableParagraph"/>
              <w:ind w:left="110" w:right="704"/>
            </w:pPr>
            <w:r>
              <w:t>Preuzimanje obveza u skladu s dinamikom ostvarenja izvora</w:t>
            </w:r>
          </w:p>
          <w:p w:rsidR="00877358" w:rsidRDefault="0065564B">
            <w:pPr>
              <w:pStyle w:val="TableParagraph"/>
              <w:spacing w:before="6" w:line="252" w:lineRule="exact"/>
              <w:ind w:left="110" w:right="740"/>
            </w:pPr>
            <w:r>
              <w:t>financiranja planiranih Proračunom</w:t>
            </w:r>
          </w:p>
        </w:tc>
        <w:tc>
          <w:tcPr>
            <w:tcW w:w="3021" w:type="dxa"/>
          </w:tcPr>
          <w:p w:rsidR="00877358" w:rsidRDefault="00877358">
            <w:pPr>
              <w:pStyle w:val="TableParagraph"/>
              <w:rPr>
                <w:b/>
                <w:sz w:val="24"/>
              </w:rPr>
            </w:pPr>
          </w:p>
          <w:p w:rsidR="00877358" w:rsidRDefault="00877358">
            <w:pPr>
              <w:pStyle w:val="TableParagraph"/>
              <w:rPr>
                <w:b/>
                <w:sz w:val="20"/>
              </w:rPr>
            </w:pPr>
          </w:p>
          <w:p w:rsidR="00877358" w:rsidRDefault="0065564B">
            <w:pPr>
              <w:pStyle w:val="TableParagraph"/>
              <w:ind w:left="111"/>
            </w:pPr>
            <w:r>
              <w:t>Kontinuirano</w:t>
            </w:r>
          </w:p>
        </w:tc>
      </w:tr>
      <w:tr w:rsidR="00877358">
        <w:trPr>
          <w:trHeight w:val="2272"/>
        </w:trPr>
        <w:tc>
          <w:tcPr>
            <w:tcW w:w="3019" w:type="dxa"/>
          </w:tcPr>
          <w:p w:rsidR="00877358" w:rsidRDefault="00877358">
            <w:pPr>
              <w:pStyle w:val="TableParagraph"/>
              <w:rPr>
                <w:b/>
                <w:sz w:val="24"/>
              </w:rPr>
            </w:pPr>
          </w:p>
          <w:p w:rsidR="00877358" w:rsidRDefault="00877358">
            <w:pPr>
              <w:pStyle w:val="TableParagraph"/>
              <w:spacing w:before="7"/>
              <w:rPr>
                <w:b/>
                <w:sz w:val="19"/>
              </w:rPr>
            </w:pPr>
          </w:p>
          <w:p w:rsidR="00877358" w:rsidRDefault="0065564B">
            <w:pPr>
              <w:pStyle w:val="TableParagraph"/>
              <w:ind w:left="110" w:right="151"/>
            </w:pPr>
            <w:r>
              <w:t>Racionalizirati poslovanje te pojačano voditi računa o opravdanosti i ekonomičnosti svih rashoda proračuna</w:t>
            </w:r>
          </w:p>
        </w:tc>
        <w:tc>
          <w:tcPr>
            <w:tcW w:w="3021" w:type="dxa"/>
          </w:tcPr>
          <w:p w:rsidR="00877358" w:rsidRDefault="0065564B">
            <w:pPr>
              <w:pStyle w:val="TableParagraph"/>
              <w:ind w:left="110" w:right="92"/>
            </w:pPr>
            <w:r>
              <w:t>Maksimalna racionalizacija trošenja proračunskih sredstava, praćenje i analiza troškova, novčanog tijeka, rokova podmirivanja obveza prema dobavljačima i korisnicima proračuna, promjena organizacijske</w:t>
            </w:r>
          </w:p>
          <w:p w:rsidR="00877358" w:rsidRDefault="0065564B">
            <w:pPr>
              <w:pStyle w:val="TableParagraph"/>
              <w:spacing w:line="231" w:lineRule="exact"/>
              <w:ind w:left="110"/>
            </w:pPr>
            <w:r>
              <w:t>strukture i dr.)</w:t>
            </w:r>
          </w:p>
        </w:tc>
        <w:tc>
          <w:tcPr>
            <w:tcW w:w="3021" w:type="dxa"/>
          </w:tcPr>
          <w:p w:rsidR="00877358" w:rsidRDefault="00877358">
            <w:pPr>
              <w:pStyle w:val="TableParagraph"/>
              <w:rPr>
                <w:b/>
                <w:sz w:val="24"/>
              </w:rPr>
            </w:pPr>
          </w:p>
          <w:p w:rsidR="00877358" w:rsidRDefault="00877358">
            <w:pPr>
              <w:pStyle w:val="TableParagraph"/>
              <w:rPr>
                <w:b/>
                <w:sz w:val="24"/>
              </w:rPr>
            </w:pPr>
          </w:p>
          <w:p w:rsidR="00877358" w:rsidRDefault="00877358">
            <w:pPr>
              <w:pStyle w:val="TableParagraph"/>
              <w:rPr>
                <w:b/>
                <w:sz w:val="24"/>
              </w:rPr>
            </w:pPr>
          </w:p>
          <w:p w:rsidR="00877358" w:rsidRDefault="0065564B">
            <w:pPr>
              <w:pStyle w:val="TableParagraph"/>
              <w:spacing w:before="180"/>
              <w:ind w:left="111"/>
            </w:pPr>
            <w:r>
              <w:t>Kontinuirano</w:t>
            </w:r>
          </w:p>
        </w:tc>
      </w:tr>
    </w:tbl>
    <w:p w:rsidR="0065564B" w:rsidRDefault="0065564B"/>
    <w:sectPr w:rsidR="0065564B">
      <w:pgSz w:w="11910" w:h="16840"/>
      <w:pgMar w:top="1320" w:right="1300" w:bottom="1200" w:left="130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868" w:rsidRDefault="00E06868">
      <w:r>
        <w:separator/>
      </w:r>
    </w:p>
  </w:endnote>
  <w:endnote w:type="continuationSeparator" w:id="0">
    <w:p w:rsidR="00E06868" w:rsidRDefault="00E0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358" w:rsidRDefault="008B7D1C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7358" w:rsidRDefault="0065564B">
                          <w:pPr>
                            <w:pStyle w:val="Tijeloteksta"/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3D03">
                            <w:rPr>
                              <w:rFonts w:ascii="Carlito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" filled="f" stroked="f">
              <v:textbox inset="0,0,0,0">
                <w:txbxContent>
                  <w:p w:rsidR="00877358" w:rsidRDefault="0065564B">
                    <w:pPr>
                      <w:pStyle w:val="Tijeloteksta"/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C3D03">
                      <w:rPr>
                        <w:rFonts w:ascii="Carlito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868" w:rsidRDefault="00E06868">
      <w:r>
        <w:separator/>
      </w:r>
    </w:p>
  </w:footnote>
  <w:footnote w:type="continuationSeparator" w:id="0">
    <w:p w:rsidR="00E06868" w:rsidRDefault="00E06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B2169"/>
    <w:multiLevelType w:val="multilevel"/>
    <w:tmpl w:val="FBC8AADC"/>
    <w:lvl w:ilvl="0">
      <w:start w:val="1"/>
      <w:numFmt w:val="decimalZero"/>
      <w:lvlText w:val="%1"/>
      <w:lvlJc w:val="left"/>
      <w:pPr>
        <w:ind w:left="115" w:hanging="730"/>
        <w:jc w:val="left"/>
      </w:pPr>
      <w:rPr>
        <w:rFonts w:hint="default"/>
        <w:lang w:val="bs-Latn" w:eastAsia="en-US" w:bidi="ar-SA"/>
      </w:rPr>
    </w:lvl>
    <w:lvl w:ilvl="1">
      <w:start w:val="1"/>
      <w:numFmt w:val="decimalZero"/>
      <w:lvlText w:val="%1.%2."/>
      <w:lvlJc w:val="left"/>
      <w:pPr>
        <w:ind w:left="115" w:hanging="73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bs-Latn" w:eastAsia="en-US" w:bidi="ar-SA"/>
      </w:rPr>
    </w:lvl>
    <w:lvl w:ilvl="2">
      <w:numFmt w:val="bullet"/>
      <w:lvlText w:val=""/>
      <w:lvlJc w:val="left"/>
      <w:pPr>
        <w:ind w:left="836" w:hanging="361"/>
      </w:pPr>
      <w:rPr>
        <w:rFonts w:ascii="Symbol" w:eastAsia="Symbol" w:hAnsi="Symbol" w:cs="Symbol" w:hint="default"/>
        <w:w w:val="100"/>
        <w:sz w:val="22"/>
        <w:szCs w:val="22"/>
        <w:lang w:val="bs-Latn" w:eastAsia="en-US" w:bidi="ar-SA"/>
      </w:rPr>
    </w:lvl>
    <w:lvl w:ilvl="3">
      <w:numFmt w:val="bullet"/>
      <w:lvlText w:val="•"/>
      <w:lvlJc w:val="left"/>
      <w:pPr>
        <w:ind w:left="2721" w:hanging="361"/>
      </w:pPr>
      <w:rPr>
        <w:rFonts w:hint="default"/>
        <w:lang w:val="bs-Latn" w:eastAsia="en-US" w:bidi="ar-SA"/>
      </w:rPr>
    </w:lvl>
    <w:lvl w:ilvl="4">
      <w:numFmt w:val="bullet"/>
      <w:lvlText w:val="•"/>
      <w:lvlJc w:val="left"/>
      <w:pPr>
        <w:ind w:left="3662" w:hanging="361"/>
      </w:pPr>
      <w:rPr>
        <w:rFonts w:hint="default"/>
        <w:lang w:val="bs-Latn" w:eastAsia="en-US" w:bidi="ar-SA"/>
      </w:rPr>
    </w:lvl>
    <w:lvl w:ilvl="5">
      <w:numFmt w:val="bullet"/>
      <w:lvlText w:val="•"/>
      <w:lvlJc w:val="left"/>
      <w:pPr>
        <w:ind w:left="4602" w:hanging="361"/>
      </w:pPr>
      <w:rPr>
        <w:rFonts w:hint="default"/>
        <w:lang w:val="bs-Latn" w:eastAsia="en-US" w:bidi="ar-SA"/>
      </w:rPr>
    </w:lvl>
    <w:lvl w:ilvl="6">
      <w:numFmt w:val="bullet"/>
      <w:lvlText w:val="•"/>
      <w:lvlJc w:val="left"/>
      <w:pPr>
        <w:ind w:left="5543" w:hanging="361"/>
      </w:pPr>
      <w:rPr>
        <w:rFonts w:hint="default"/>
        <w:lang w:val="bs-Latn" w:eastAsia="en-US" w:bidi="ar-SA"/>
      </w:rPr>
    </w:lvl>
    <w:lvl w:ilvl="7">
      <w:numFmt w:val="bullet"/>
      <w:lvlText w:val="•"/>
      <w:lvlJc w:val="left"/>
      <w:pPr>
        <w:ind w:left="6484" w:hanging="361"/>
      </w:pPr>
      <w:rPr>
        <w:rFonts w:hint="default"/>
        <w:lang w:val="bs-Latn" w:eastAsia="en-US" w:bidi="ar-SA"/>
      </w:rPr>
    </w:lvl>
    <w:lvl w:ilvl="8">
      <w:numFmt w:val="bullet"/>
      <w:lvlText w:val="•"/>
      <w:lvlJc w:val="left"/>
      <w:pPr>
        <w:ind w:left="7424" w:hanging="361"/>
      </w:pPr>
      <w:rPr>
        <w:rFonts w:hint="default"/>
        <w:lang w:val="bs-Latn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58"/>
    <w:rsid w:val="00014657"/>
    <w:rsid w:val="000C1416"/>
    <w:rsid w:val="000D70CD"/>
    <w:rsid w:val="001A67B2"/>
    <w:rsid w:val="00325D67"/>
    <w:rsid w:val="003C1F14"/>
    <w:rsid w:val="003E63C3"/>
    <w:rsid w:val="003F6780"/>
    <w:rsid w:val="00417848"/>
    <w:rsid w:val="00421F99"/>
    <w:rsid w:val="004C3D03"/>
    <w:rsid w:val="00583F1D"/>
    <w:rsid w:val="005902E8"/>
    <w:rsid w:val="0065564B"/>
    <w:rsid w:val="00672980"/>
    <w:rsid w:val="007742A3"/>
    <w:rsid w:val="00806260"/>
    <w:rsid w:val="00854947"/>
    <w:rsid w:val="00877358"/>
    <w:rsid w:val="008B7D1C"/>
    <w:rsid w:val="009038B8"/>
    <w:rsid w:val="00935D10"/>
    <w:rsid w:val="00AE3169"/>
    <w:rsid w:val="00BB20E5"/>
    <w:rsid w:val="00BC1CDC"/>
    <w:rsid w:val="00BC3D1C"/>
    <w:rsid w:val="00C51867"/>
    <w:rsid w:val="00C7204A"/>
    <w:rsid w:val="00CF67CF"/>
    <w:rsid w:val="00E06868"/>
    <w:rsid w:val="00E95063"/>
    <w:rsid w:val="00ED09AA"/>
    <w:rsid w:val="00F3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20328C-1CBC-4650-8045-C6ABB78F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bs-Latn"/>
    </w:rPr>
  </w:style>
  <w:style w:type="paragraph" w:styleId="Naslov1">
    <w:name w:val="heading 1"/>
    <w:basedOn w:val="Normal"/>
    <w:uiPriority w:val="1"/>
    <w:qFormat/>
    <w:pPr>
      <w:ind w:left="1094" w:right="1096"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  <w:pPr>
      <w:ind w:left="836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325D6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5D67"/>
    <w:rPr>
      <w:rFonts w:ascii="Segoe UI" w:eastAsia="Arial" w:hAnsi="Segoe UI" w:cs="Segoe UI"/>
      <w:sz w:val="18"/>
      <w:szCs w:val="18"/>
      <w:lang w:val="bs-Lat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Cakovec</dc:creator>
  <cp:lastModifiedBy>Mateja</cp:lastModifiedBy>
  <cp:revision>16</cp:revision>
  <cp:lastPrinted>2022-05-25T12:25:00Z</cp:lastPrinted>
  <dcterms:created xsi:type="dcterms:W3CDTF">2022-04-27T12:49:00Z</dcterms:created>
  <dcterms:modified xsi:type="dcterms:W3CDTF">2022-06-10T12:43:00Z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2022-04-27T00:00:00Z</vt:filetime>
  </property>
</Properties>
</file>