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r w:rsidRPr="00FF4E74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FF4E74">
        <w:rPr>
          <w:rFonts w:eastAsia="Calibri"/>
          <w:bCs/>
          <w:sz w:val="22"/>
          <w:szCs w:val="22"/>
        </w:rPr>
        <w:t xml:space="preserve">za prijam u službu namještenika na neodređeno vrijeme, </w:t>
      </w:r>
      <w:r w:rsidR="00DC5B4C">
        <w:rPr>
          <w:rFonts w:eastAsia="Calibri"/>
          <w:bCs/>
          <w:sz w:val="22"/>
          <w:szCs w:val="22"/>
        </w:rPr>
        <w:t>puno radno vrijeme</w:t>
      </w:r>
      <w:r w:rsidRPr="00FF4E74">
        <w:rPr>
          <w:rFonts w:eastAsia="Calibri"/>
          <w:bCs/>
          <w:sz w:val="22"/>
          <w:szCs w:val="22"/>
        </w:rPr>
        <w:t>, uz probni rad od tri (3) mjeseca, na radno mjesto u Općini Vidovec, Jedinstveni upravni odjel Općine Vidovec:</w:t>
      </w:r>
    </w:p>
    <w:p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en-US"/>
        </w:rPr>
      </w:pPr>
      <w:r w:rsidRPr="00FF4E74">
        <w:rPr>
          <w:rFonts w:eastAsia="Calibri"/>
          <w:bCs/>
          <w:sz w:val="22"/>
          <w:szCs w:val="22"/>
          <w:lang w:val="en-US"/>
        </w:rPr>
        <w:t xml:space="preserve">– </w:t>
      </w:r>
      <w:proofErr w:type="spellStart"/>
      <w:proofErr w:type="gramStart"/>
      <w:r w:rsidRPr="00FF4E74">
        <w:rPr>
          <w:rFonts w:eastAsia="Calibri"/>
          <w:bCs/>
          <w:sz w:val="22"/>
          <w:szCs w:val="22"/>
          <w:lang w:val="en-US"/>
        </w:rPr>
        <w:t>čistačica</w:t>
      </w:r>
      <w:proofErr w:type="spellEnd"/>
      <w:proofErr w:type="gramEnd"/>
      <w:r w:rsidRPr="00FF4E74">
        <w:rPr>
          <w:rFonts w:eastAsia="Calibri"/>
          <w:bCs/>
          <w:sz w:val="22"/>
          <w:szCs w:val="22"/>
          <w:lang w:val="en-US"/>
        </w:rPr>
        <w:t xml:space="preserve"> – 1 </w:t>
      </w:r>
      <w:proofErr w:type="spellStart"/>
      <w:r w:rsidRPr="00FF4E74">
        <w:rPr>
          <w:rFonts w:eastAsia="Calibri"/>
          <w:bCs/>
          <w:sz w:val="22"/>
          <w:szCs w:val="22"/>
          <w:lang w:val="en-US"/>
        </w:rPr>
        <w:t>izvršitelj</w:t>
      </w:r>
      <w:proofErr w:type="spellEnd"/>
      <w:r w:rsidR="00DC5B4C">
        <w:rPr>
          <w:rFonts w:eastAsia="Calibri"/>
          <w:bCs/>
          <w:sz w:val="22"/>
          <w:szCs w:val="22"/>
          <w:lang w:val="en-US"/>
        </w:rPr>
        <w:t xml:space="preserve"> (m/ž)</w:t>
      </w:r>
    </w:p>
    <w:p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6D751A" w:rsidRPr="009E6C72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D3197">
        <w:rPr>
          <w:rFonts w:eastAsia="Calibri"/>
          <w:sz w:val="22"/>
          <w:szCs w:val="22"/>
        </w:rPr>
        <w:t xml:space="preserve">Na temelju članka 19. stavka 1. Zakona o službenicima i namještenicima u lokalnoj i područnoj (regionalnoj) samoupravi („Narodne novine“, broj </w:t>
      </w:r>
      <w:r w:rsidR="00DC5B4C" w:rsidRPr="00DC5B4C">
        <w:rPr>
          <w:rFonts w:eastAsia="Calibri"/>
          <w:sz w:val="22"/>
          <w:szCs w:val="22"/>
        </w:rPr>
        <w:t>86/08, 61/11, 4/18 i 112/19</w:t>
      </w:r>
      <w:r w:rsidR="009E6C72">
        <w:rPr>
          <w:rFonts w:eastAsia="Calibri"/>
          <w:sz w:val="22"/>
          <w:szCs w:val="22"/>
        </w:rPr>
        <w:t xml:space="preserve">), </w:t>
      </w:r>
      <w:r w:rsidRPr="009D3197">
        <w:rPr>
          <w:rFonts w:eastAsia="Calibri"/>
          <w:sz w:val="22"/>
          <w:szCs w:val="22"/>
        </w:rPr>
        <w:t xml:space="preserve">pročelnica Jedinstvenog </w:t>
      </w:r>
      <w:r w:rsidRPr="009E6C72">
        <w:rPr>
          <w:rFonts w:eastAsia="Calibri"/>
          <w:sz w:val="22"/>
          <w:szCs w:val="22"/>
        </w:rPr>
        <w:t>upravnog odjela raspisala je javni natječaj objavlje</w:t>
      </w:r>
      <w:r w:rsidR="009E6C72">
        <w:rPr>
          <w:rFonts w:eastAsia="Calibri"/>
          <w:sz w:val="22"/>
          <w:szCs w:val="22"/>
        </w:rPr>
        <w:t xml:space="preserve">n u „Narodnim novinama“, broj </w:t>
      </w:r>
      <w:r w:rsidR="00DC5B4C">
        <w:rPr>
          <w:rFonts w:eastAsia="Calibri"/>
          <w:sz w:val="22"/>
          <w:szCs w:val="22"/>
        </w:rPr>
        <w:t>02/21</w:t>
      </w:r>
      <w:r w:rsidRPr="009E6C72">
        <w:rPr>
          <w:rFonts w:eastAsia="Calibri"/>
          <w:sz w:val="22"/>
          <w:szCs w:val="22"/>
        </w:rPr>
        <w:t xml:space="preserve"> od  </w:t>
      </w:r>
      <w:r w:rsidR="00DC5B4C">
        <w:rPr>
          <w:rFonts w:eastAsia="Calibri"/>
          <w:sz w:val="22"/>
          <w:szCs w:val="22"/>
        </w:rPr>
        <w:t>08.01</w:t>
      </w:r>
      <w:r w:rsidR="009E6C72" w:rsidRPr="009E6C72">
        <w:rPr>
          <w:rFonts w:eastAsia="Calibri"/>
          <w:sz w:val="22"/>
          <w:szCs w:val="22"/>
        </w:rPr>
        <w:t>.</w:t>
      </w:r>
      <w:r w:rsidR="00DC5B4C">
        <w:rPr>
          <w:rFonts w:eastAsia="Calibri"/>
          <w:sz w:val="22"/>
          <w:szCs w:val="22"/>
        </w:rPr>
        <w:t>2021</w:t>
      </w:r>
      <w:r w:rsidRPr="009E6C72">
        <w:rPr>
          <w:rFonts w:eastAsia="Calibri"/>
          <w:sz w:val="22"/>
          <w:szCs w:val="22"/>
        </w:rPr>
        <w:t xml:space="preserve">. godine za prijam u službu 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D751A" w:rsidRPr="009D3197" w:rsidRDefault="006D751A" w:rsidP="006D75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9D3197">
        <w:rPr>
          <w:rFonts w:eastAsia="Calibri"/>
          <w:b/>
          <w:sz w:val="22"/>
          <w:szCs w:val="22"/>
        </w:rPr>
        <w:t>Čistačica - 1 izvršitelj/</w:t>
      </w:r>
      <w:proofErr w:type="spellStart"/>
      <w:r w:rsidRPr="009D3197">
        <w:rPr>
          <w:rFonts w:eastAsia="Calibri"/>
          <w:b/>
          <w:sz w:val="22"/>
          <w:szCs w:val="22"/>
        </w:rPr>
        <w:t>ica</w:t>
      </w:r>
      <w:proofErr w:type="spellEnd"/>
      <w:r w:rsidRPr="009D3197">
        <w:rPr>
          <w:rFonts w:eastAsia="Calibri"/>
          <w:b/>
          <w:sz w:val="22"/>
          <w:szCs w:val="22"/>
        </w:rPr>
        <w:t xml:space="preserve"> na ne</w:t>
      </w:r>
      <w:r w:rsidR="00DC5B4C">
        <w:rPr>
          <w:rFonts w:eastAsia="Calibri"/>
          <w:b/>
          <w:sz w:val="22"/>
          <w:szCs w:val="22"/>
        </w:rPr>
        <w:t xml:space="preserve">određeno vrijeme, </w:t>
      </w:r>
      <w:r w:rsidRPr="009D3197">
        <w:rPr>
          <w:rFonts w:eastAsia="Calibri"/>
          <w:b/>
          <w:sz w:val="22"/>
          <w:szCs w:val="22"/>
        </w:rPr>
        <w:t>puno radno vrijeme u Jedinstveni upravni odjel Općine Vidovec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D3197">
        <w:rPr>
          <w:rFonts w:eastAsia="Calibri"/>
          <w:b/>
          <w:bCs/>
          <w:sz w:val="22"/>
          <w:szCs w:val="22"/>
        </w:rPr>
        <w:t xml:space="preserve">UPUTE I OBAVIJESTI KANDIDATIMA/TKINJAMA </w:t>
      </w:r>
      <w:r w:rsidRPr="009D3197">
        <w:rPr>
          <w:rFonts w:eastAsia="Calibri"/>
          <w:sz w:val="22"/>
          <w:szCs w:val="22"/>
        </w:rPr>
        <w:t>(u daljnjem tekstu: kandidat u odgovarajućem padežu)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:rsidR="008B0E37" w:rsidRPr="008B0E37" w:rsidRDefault="00FF4E74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OSNOVNI PODACI O RADNOM MJESTU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Kategorija: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IV.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Potkategorija: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="009E6C72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Namještenici II. potkategorije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Razina: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2. razina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>Klasifikacijski rang: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9D319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13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8B0E37">
        <w:rPr>
          <w:rFonts w:eastAsia="Calibri"/>
          <w:b/>
          <w:sz w:val="22"/>
          <w:szCs w:val="22"/>
          <w:lang w:eastAsia="en-US"/>
        </w:rPr>
        <w:t xml:space="preserve">Naziv: </w:t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ab/>
      </w:r>
      <w:r w:rsidR="009E6C72">
        <w:rPr>
          <w:rFonts w:eastAsia="Calibri"/>
          <w:b/>
          <w:sz w:val="22"/>
          <w:szCs w:val="22"/>
          <w:lang w:eastAsia="en-US"/>
        </w:rPr>
        <w:tab/>
      </w:r>
      <w:r w:rsidRPr="008B0E37">
        <w:rPr>
          <w:rFonts w:eastAsia="Calibri"/>
          <w:b/>
          <w:sz w:val="22"/>
          <w:szCs w:val="22"/>
          <w:lang w:eastAsia="en-US"/>
        </w:rPr>
        <w:t>ČISTAČICA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>Stručno znanje: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 xml:space="preserve">                 -    </w:t>
      </w:r>
      <w:r w:rsidRPr="008B0E37">
        <w:rPr>
          <w:bCs/>
          <w:sz w:val="22"/>
          <w:szCs w:val="22"/>
          <w:lang w:eastAsia="en-US"/>
        </w:rPr>
        <w:t xml:space="preserve">niža stručna sprema ili osnovna škola 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>Stupanj složenosti: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Cs/>
          <w:sz w:val="22"/>
          <w:szCs w:val="22"/>
          <w:lang w:eastAsia="en-US"/>
        </w:rPr>
        <w:tab/>
        <w:t>- stupanj složenosti koji uključuje jednostavne i standardizirane pomoćno – tehničke poslove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/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>Stupanj odgovornosti: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bCs/>
          <w:sz w:val="22"/>
          <w:szCs w:val="22"/>
          <w:lang w:eastAsia="en-US"/>
        </w:rPr>
        <w:tab/>
      </w:r>
      <w:r w:rsidRPr="008B0E37">
        <w:rPr>
          <w:bCs/>
          <w:sz w:val="22"/>
          <w:szCs w:val="22"/>
          <w:lang w:eastAsia="en-US"/>
        </w:rPr>
        <w:t>- stupanj odgovornosti koji uključuje odgovornost za materijalne resurse s kojima namještenik radi</w:t>
      </w: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t xml:space="preserve">Broj izvršitelja: </w:t>
      </w:r>
      <w:r w:rsidRPr="008B0E37">
        <w:rPr>
          <w:b/>
          <w:sz w:val="22"/>
          <w:szCs w:val="22"/>
          <w:lang w:eastAsia="en-US"/>
        </w:rPr>
        <w:tab/>
        <w:t>1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b/>
                <w:sz w:val="22"/>
                <w:szCs w:val="22"/>
                <w:lang w:eastAsia="en-US"/>
              </w:rPr>
              <w:t>Poslovi radnog mjesta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b/>
                <w:sz w:val="22"/>
                <w:szCs w:val="22"/>
                <w:lang w:eastAsia="en-US"/>
              </w:rPr>
              <w:t>Približan postotak vremena  potreban za obavljanje pojedinog posla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Čišćenje i higijensko održavanje općinskih prostorija (kancelarija, vijećnice, sobe za sastanke, stepeništa, hodnika, sanitarnog čvora, ulaza u općinsku zgradu  te prostora ispred općinske zgrade) te briga o okolišu oko općinske zgrade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Čišćenje i higijensko održavanje prostorija društvenih domova na području Općine Vidovec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>Briga o čistoći  prozora, namještaja, uredske opreme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FF4E74" w:rsidRDefault="00FF4E7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lastRenderedPageBreak/>
              <w:t>Održavanje i briga o zelenim površinama, cvjetnjacima i presadnicama ispred i u okolini zgrade Općine te na drugim javnim površinama, zalijevanje cvijeća i ostalog bilja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0E37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8B0E37" w:rsidRPr="008B0E37" w:rsidTr="00FF4E74">
        <w:tc>
          <w:tcPr>
            <w:tcW w:w="6487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0E37">
              <w:rPr>
                <w:rFonts w:eastAsia="Calibri"/>
                <w:sz w:val="22"/>
                <w:szCs w:val="22"/>
                <w:lang w:eastAsia="en-US"/>
              </w:rPr>
              <w:t xml:space="preserve">Obavljanje  drugih pomoćnih poslova po nalogu nadređenog  </w:t>
            </w:r>
          </w:p>
        </w:tc>
        <w:tc>
          <w:tcPr>
            <w:tcW w:w="3119" w:type="dxa"/>
            <w:shd w:val="clear" w:color="auto" w:fill="auto"/>
          </w:tcPr>
          <w:p w:rsidR="008B0E37" w:rsidRPr="008B0E37" w:rsidRDefault="008B0E37" w:rsidP="008B0E37">
            <w:pPr>
              <w:spacing w:line="276" w:lineRule="auto"/>
              <w:jc w:val="center"/>
              <w:rPr>
                <w:lang w:eastAsia="en-US"/>
              </w:rPr>
            </w:pPr>
            <w:r w:rsidRPr="008B0E37">
              <w:rPr>
                <w:lang w:eastAsia="en-US"/>
              </w:rPr>
              <w:t>10</w:t>
            </w:r>
          </w:p>
        </w:tc>
      </w:tr>
    </w:tbl>
    <w:p w:rsidR="009D3197" w:rsidRPr="00E84244" w:rsidRDefault="009D3197" w:rsidP="006D751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6D751A" w:rsidRPr="00FF4E74" w:rsidRDefault="00FF4E74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FF4E74">
        <w:rPr>
          <w:rFonts w:eastAsia="Calibri"/>
          <w:b/>
          <w:bCs/>
          <w:sz w:val="24"/>
          <w:szCs w:val="24"/>
        </w:rPr>
        <w:t>PODACI O PLAĆI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="00DC5B4C">
        <w:rPr>
          <w:rFonts w:eastAsia="Calibri"/>
          <w:sz w:val="24"/>
          <w:szCs w:val="24"/>
        </w:rPr>
        <w:t xml:space="preserve"> broj 64/19</w:t>
      </w:r>
      <w:bookmarkStart w:id="0" w:name="_GoBack"/>
      <w:bookmarkEnd w:id="0"/>
      <w:r w:rsidRPr="008B0E37">
        <w:rPr>
          <w:rFonts w:eastAsia="Calibri"/>
          <w:sz w:val="24"/>
          <w:szCs w:val="24"/>
        </w:rPr>
        <w:t xml:space="preserve">.). </w:t>
      </w:r>
    </w:p>
    <w:p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namještenika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:rsidR="008B0E37" w:rsidRPr="008B0E37" w:rsidRDefault="008B0E37" w:rsidP="009E6C7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Namještenik</w:t>
      </w:r>
      <w:r w:rsidRPr="008B0E37">
        <w:rPr>
          <w:rFonts w:eastAsia="Calibri"/>
          <w:sz w:val="24"/>
          <w:szCs w:val="24"/>
        </w:rPr>
        <w:t xml:space="preserve"> ostvaruje plaću prema slijedećim kriterijima: </w:t>
      </w:r>
    </w:p>
    <w:p w:rsidR="006D751A" w:rsidRPr="00E84244" w:rsidRDefault="008B0E37" w:rsidP="008B0E37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>
        <w:rPr>
          <w:rFonts w:eastAsia="Calibri"/>
          <w:sz w:val="24"/>
          <w:szCs w:val="24"/>
        </w:rPr>
        <w:t>ent za obračun plaće iznosi 1,00</w:t>
      </w:r>
      <w:r w:rsidRPr="008B0E37">
        <w:rPr>
          <w:rFonts w:eastAsia="Calibri"/>
          <w:sz w:val="24"/>
          <w:szCs w:val="24"/>
        </w:rPr>
        <w:t xml:space="preserve"> uz osnovi</w:t>
      </w:r>
      <w:r w:rsidR="00DC5B4C">
        <w:rPr>
          <w:rFonts w:eastAsia="Calibri"/>
          <w:sz w:val="24"/>
          <w:szCs w:val="24"/>
        </w:rPr>
        <w:t>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8B0E37">
        <w:rPr>
          <w:rFonts w:eastAsia="Calibri"/>
          <w:b/>
          <w:sz w:val="24"/>
          <w:szCs w:val="24"/>
        </w:rPr>
        <w:t>Čistačica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znanja: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E84244">
        <w:rPr>
          <w:sz w:val="24"/>
          <w:szCs w:val="24"/>
        </w:rPr>
        <w:t xml:space="preserve">Postupak testiranja kandidata za prijam na radno mjesto namještenika za koje je kao stručno znanje utvrđena niža stručna sprema ili osnovna škola provodi se putem pisanog testa iz </w:t>
      </w:r>
      <w:r w:rsidRPr="00E84244">
        <w:rPr>
          <w:b/>
          <w:sz w:val="24"/>
          <w:szCs w:val="24"/>
          <w:u w:val="single"/>
        </w:rPr>
        <w:t>općeg znanja.</w:t>
      </w:r>
    </w:p>
    <w:p w:rsidR="006D751A" w:rsidRPr="00E84244" w:rsidRDefault="006D751A" w:rsidP="006D751A">
      <w:pPr>
        <w:spacing w:line="276" w:lineRule="auto"/>
        <w:ind w:left="708"/>
        <w:rPr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>ji ispunjavaju formalne uvjete javnog n</w:t>
      </w:r>
      <w:r w:rsidRPr="00E84244">
        <w:rPr>
          <w:sz w:val="24"/>
          <w:szCs w:val="24"/>
        </w:rPr>
        <w:t>atječaja.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8B0E37">
        <w:rPr>
          <w:rFonts w:eastAsia="Calibri"/>
          <w:sz w:val="24"/>
          <w:szCs w:val="24"/>
        </w:rPr>
        <w:t>će se da je povukao prijavu na n</w:t>
      </w:r>
      <w:r w:rsidRPr="00E84244">
        <w:rPr>
          <w:rFonts w:eastAsia="Calibri"/>
          <w:sz w:val="24"/>
          <w:szCs w:val="24"/>
        </w:rPr>
        <w:t>atječaj.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>i rad Povjerenstvo za provedbu n</w:t>
      </w:r>
      <w:r w:rsidRPr="00E84244">
        <w:rPr>
          <w:rFonts w:eastAsia="Calibri"/>
          <w:sz w:val="24"/>
          <w:szCs w:val="24"/>
        </w:rPr>
        <w:t>atječaja neće bodovati.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Povjerenstvo za provedbu n</w:t>
      </w:r>
      <w:r w:rsidR="006D751A" w:rsidRPr="00E84244">
        <w:rPr>
          <w:rFonts w:eastAsia="Calibri"/>
          <w:sz w:val="24"/>
          <w:szCs w:val="24"/>
        </w:rPr>
        <w:t>atječaja kroz intervju s kandidatima utvrđuje interese, profesionalne ciljeve i motivaciju istih za rad u jedinici područne (regionalne) samouprave.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n</w:t>
      </w:r>
      <w:r w:rsidRPr="00E84244">
        <w:rPr>
          <w:rFonts w:eastAsia="Calibri"/>
          <w:sz w:val="24"/>
          <w:szCs w:val="24"/>
        </w:rPr>
        <w:t>atječaja utvrđuje rang-listu kandidata prema ukupnom broju bodova ostvarenih na testiranju i intervjuu.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Povjerenstvo za provedbu natječaja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>ji ispunjavaju formalne uvjete n</w:t>
      </w:r>
      <w:r w:rsidR="006D751A" w:rsidRPr="00E84244">
        <w:rPr>
          <w:rFonts w:eastAsia="Calibri"/>
          <w:sz w:val="24"/>
          <w:szCs w:val="24"/>
        </w:rPr>
        <w:t>atječaja.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7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b/>
          <w:bCs/>
          <w:sz w:val="24"/>
          <w:szCs w:val="24"/>
        </w:rPr>
        <w:t xml:space="preserve">Općina </w:t>
      </w:r>
      <w:r w:rsidR="008B0E37">
        <w:rPr>
          <w:rFonts w:eastAsia="Calibri"/>
          <w:b/>
          <w:bCs/>
          <w:sz w:val="24"/>
          <w:szCs w:val="24"/>
        </w:rPr>
        <w:t>Vidovec</w:t>
      </w:r>
    </w:p>
    <w:p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A"/>
    <w:rsid w:val="00596216"/>
    <w:rsid w:val="006D751A"/>
    <w:rsid w:val="008B0E37"/>
    <w:rsid w:val="009609F7"/>
    <w:rsid w:val="009D3197"/>
    <w:rsid w:val="009E6C72"/>
    <w:rsid w:val="00A0265F"/>
    <w:rsid w:val="00DC5B4C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458-6D4E-4EB8-AC75-140271D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2021-01-11T07:33:00Z</cp:lastPrinted>
  <dcterms:created xsi:type="dcterms:W3CDTF">2021-01-11T10:13:00Z</dcterms:created>
  <dcterms:modified xsi:type="dcterms:W3CDTF">2021-01-11T10:13:00Z</dcterms:modified>
</cp:coreProperties>
</file>