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76DC" w14:textId="77777777"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u w:val="single"/>
        </w:rPr>
      </w:pPr>
      <w:r w:rsidRPr="00FF4E74">
        <w:rPr>
          <w:rFonts w:eastAsia="Calibri"/>
          <w:b/>
          <w:bCs/>
          <w:sz w:val="22"/>
          <w:szCs w:val="22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786FBB5F" w14:textId="77777777"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546A55B8" w14:textId="77777777" w:rsidR="001A6ACA" w:rsidRPr="00851A0B" w:rsidRDefault="00223CBF" w:rsidP="001A6AC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51A0B">
        <w:rPr>
          <w:rFonts w:eastAsia="Calibri"/>
          <w:b/>
          <w:sz w:val="22"/>
          <w:szCs w:val="22"/>
        </w:rPr>
        <w:t xml:space="preserve">za  prijam u službu </w:t>
      </w:r>
      <w:r w:rsidR="001A6ACA" w:rsidRPr="00851A0B">
        <w:rPr>
          <w:rFonts w:eastAsia="Calibri"/>
          <w:b/>
          <w:sz w:val="22"/>
          <w:szCs w:val="22"/>
        </w:rPr>
        <w:t>u</w:t>
      </w:r>
    </w:p>
    <w:p w14:paraId="1067A11C" w14:textId="58BA3CDD" w:rsidR="00FF4E74" w:rsidRPr="00851A0B" w:rsidRDefault="001A6ACA" w:rsidP="001A6AC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en-US"/>
        </w:rPr>
      </w:pPr>
      <w:r w:rsidRPr="00851A0B">
        <w:rPr>
          <w:rFonts w:eastAsia="Calibri"/>
          <w:b/>
          <w:sz w:val="22"/>
          <w:szCs w:val="22"/>
        </w:rPr>
        <w:t>Jedinstveni upravni odjel Op</w:t>
      </w:r>
      <w:r w:rsidRPr="00851A0B">
        <w:rPr>
          <w:rFonts w:eastAsia="Calibri" w:hint="eastAsia"/>
          <w:b/>
          <w:sz w:val="22"/>
          <w:szCs w:val="22"/>
        </w:rPr>
        <w:t>ć</w:t>
      </w:r>
      <w:r w:rsidRPr="00851A0B">
        <w:rPr>
          <w:rFonts w:eastAsia="Calibri"/>
          <w:b/>
          <w:sz w:val="22"/>
          <w:szCs w:val="22"/>
        </w:rPr>
        <w:t>ine Vidovec</w:t>
      </w:r>
      <w:r>
        <w:rPr>
          <w:rFonts w:eastAsia="Calibri"/>
          <w:b/>
          <w:sz w:val="22"/>
          <w:szCs w:val="22"/>
          <w:lang w:val="en-US"/>
        </w:rPr>
        <w:t xml:space="preserve"> </w:t>
      </w:r>
      <w:r w:rsidR="00223CBF" w:rsidRPr="00851A0B">
        <w:rPr>
          <w:rFonts w:eastAsia="Calibri"/>
          <w:b/>
          <w:sz w:val="22"/>
          <w:szCs w:val="22"/>
        </w:rPr>
        <w:t xml:space="preserve">na određeno vrijeme </w:t>
      </w:r>
      <w:r w:rsidRPr="00A2409D">
        <w:rPr>
          <w:rFonts w:ascii="pt-serif" w:hAnsi="pt-serif"/>
          <w:b/>
          <w:bCs/>
          <w:sz w:val="21"/>
          <w:szCs w:val="21"/>
        </w:rPr>
        <w:t xml:space="preserve">zbog </w:t>
      </w:r>
      <w:r>
        <w:rPr>
          <w:rFonts w:ascii="pt-serif" w:hAnsi="pt-serif"/>
          <w:b/>
          <w:bCs/>
          <w:sz w:val="21"/>
          <w:szCs w:val="21"/>
        </w:rPr>
        <w:t>obavljanja poslova čiji opseg se privremeno povećao</w:t>
      </w:r>
      <w:r w:rsidRPr="00A2409D">
        <w:rPr>
          <w:rFonts w:ascii="pt-serif" w:hAnsi="pt-serif"/>
          <w:b/>
          <w:bCs/>
          <w:sz w:val="21"/>
          <w:szCs w:val="21"/>
        </w:rPr>
        <w:t>, najdulje do godinu dana</w:t>
      </w:r>
      <w:r>
        <w:rPr>
          <w:rFonts w:ascii="pt-serif" w:hAnsi="pt-serif"/>
          <w:b/>
          <w:bCs/>
          <w:sz w:val="21"/>
          <w:szCs w:val="21"/>
        </w:rPr>
        <w:t>,</w:t>
      </w:r>
      <w:r>
        <w:rPr>
          <w:rFonts w:ascii="pt-serif" w:hAnsi="pt-serif"/>
          <w:b/>
          <w:bCs/>
          <w:sz w:val="21"/>
          <w:szCs w:val="21"/>
        </w:rPr>
        <w:t xml:space="preserve"> </w:t>
      </w:r>
    </w:p>
    <w:p w14:paraId="729C71C8" w14:textId="77777777"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76C5F1DA" w14:textId="4A0E6759" w:rsidR="006D751A" w:rsidRPr="009E6C72" w:rsidRDefault="005202D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temelju članka 29. </w:t>
      </w:r>
      <w:r w:rsidR="006D751A" w:rsidRPr="009D3197">
        <w:rPr>
          <w:rFonts w:eastAsia="Calibri"/>
          <w:sz w:val="22"/>
          <w:szCs w:val="22"/>
        </w:rPr>
        <w:t>Zakona o službenicima i namještenicima u lokalnoj i područnoj (regionalnoj) samoupravi („Narodne novine“, broj 86/08, 61/11</w:t>
      </w:r>
      <w:r w:rsidR="00510BD2">
        <w:rPr>
          <w:rFonts w:eastAsia="Calibri"/>
          <w:sz w:val="22"/>
          <w:szCs w:val="22"/>
        </w:rPr>
        <w:t>,</w:t>
      </w:r>
      <w:r w:rsidR="006D751A" w:rsidRPr="009D3197">
        <w:rPr>
          <w:rFonts w:eastAsia="Calibri"/>
          <w:sz w:val="22"/>
          <w:szCs w:val="22"/>
        </w:rPr>
        <w:t xml:space="preserve"> 04/18</w:t>
      </w:r>
      <w:r w:rsidR="00510BD2">
        <w:rPr>
          <w:rFonts w:eastAsia="Calibri"/>
          <w:sz w:val="22"/>
          <w:szCs w:val="22"/>
        </w:rPr>
        <w:t xml:space="preserve"> i 112/19</w:t>
      </w:r>
      <w:r w:rsidR="009E6C72">
        <w:rPr>
          <w:rFonts w:eastAsia="Calibri"/>
          <w:sz w:val="22"/>
          <w:szCs w:val="22"/>
        </w:rPr>
        <w:t xml:space="preserve">),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 w:rsidR="00223CBF">
        <w:rPr>
          <w:rFonts w:eastAsia="Calibri"/>
          <w:sz w:val="22"/>
          <w:szCs w:val="22"/>
        </w:rPr>
        <w:t xml:space="preserve">oglas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14:paraId="7CEBE317" w14:textId="77777777" w:rsidR="001A6ACA" w:rsidRPr="001A6ACA" w:rsidRDefault="001A6ACA" w:rsidP="001A6ACA">
      <w:pPr>
        <w:shd w:val="clear" w:color="auto" w:fill="FFFFFF"/>
        <w:spacing w:after="150" w:line="384" w:lineRule="atLeast"/>
        <w:jc w:val="both"/>
        <w:rPr>
          <w:rFonts w:ascii="pt-serif" w:hAnsi="pt-serif"/>
          <w:sz w:val="21"/>
          <w:szCs w:val="21"/>
        </w:rPr>
      </w:pPr>
      <w:r w:rsidRPr="001A6ACA">
        <w:rPr>
          <w:rFonts w:ascii="pt-serif" w:hAnsi="pt-serif"/>
          <w:b/>
          <w:bCs/>
          <w:sz w:val="21"/>
          <w:szCs w:val="21"/>
        </w:rPr>
        <w:t xml:space="preserve">VIŠI REFERENT/ VIŠA REFERENTICA ZA KOMUNALNO GOSPODARSTVO </w:t>
      </w:r>
    </w:p>
    <w:p w14:paraId="0073D64E" w14:textId="77777777" w:rsidR="001A6ACA" w:rsidRPr="001A6ACA" w:rsidRDefault="001A6ACA" w:rsidP="001A6ACA">
      <w:pPr>
        <w:shd w:val="clear" w:color="auto" w:fill="FFFFFF"/>
        <w:spacing w:after="150" w:line="384" w:lineRule="atLeast"/>
        <w:jc w:val="both"/>
        <w:rPr>
          <w:rFonts w:ascii="pt-serif" w:hAnsi="pt-serif"/>
          <w:sz w:val="21"/>
          <w:szCs w:val="21"/>
        </w:rPr>
      </w:pPr>
      <w:r w:rsidRPr="001A6ACA">
        <w:rPr>
          <w:rFonts w:ascii="pt-serif" w:hAnsi="pt-serif"/>
          <w:b/>
          <w:bCs/>
          <w:sz w:val="21"/>
          <w:szCs w:val="21"/>
        </w:rPr>
        <w:t>-  1 izvršitelj/ica, na određeno vrijeme, zbog obavljanja poslova čiji opseg se privremeno povećao, najdulje do godinu dana,  uz obvezni probni rok od 2 (dva) mjeseca</w:t>
      </w:r>
    </w:p>
    <w:p w14:paraId="126065D4" w14:textId="77777777"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72F399B" w14:textId="77777777" w:rsidR="006D751A" w:rsidRPr="009D3197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9D3197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9D3197">
        <w:rPr>
          <w:rFonts w:eastAsia="Calibri"/>
          <w:sz w:val="22"/>
          <w:szCs w:val="22"/>
        </w:rPr>
        <w:t>(u daljnjem tekstu: kandidat u odgovarajućem padežu)</w:t>
      </w:r>
    </w:p>
    <w:p w14:paraId="09C19CA5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63A3154B" w14:textId="77777777" w:rsidR="008B0E37" w:rsidRPr="008B0E37" w:rsidRDefault="00FF4E74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OSNOVNI PODACI O RADNOM MJESTU</w:t>
      </w:r>
    </w:p>
    <w:p w14:paraId="0274D6A9" w14:textId="77777777"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75BC0E6" w14:textId="77777777"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735E1">
        <w:rPr>
          <w:rFonts w:eastAsia="Calibri"/>
          <w:b/>
          <w:sz w:val="22"/>
          <w:szCs w:val="22"/>
          <w:lang w:eastAsia="en-US"/>
        </w:rPr>
        <w:t xml:space="preserve">Osnovni podaci o radnom mjestu: </w:t>
      </w:r>
    </w:p>
    <w:p w14:paraId="7BF1FB27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Redni broj: 4</w:t>
      </w:r>
    </w:p>
    <w:p w14:paraId="0D3CF34B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Osnovni podaci o radnom mjestu:</w:t>
      </w:r>
    </w:p>
    <w:p w14:paraId="764E3BEA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25D7EA3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Kategorija:                  III.</w:t>
      </w:r>
    </w:p>
    <w:p w14:paraId="47D00C28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Potkategorija:            Viši referent</w:t>
      </w:r>
    </w:p>
    <w:p w14:paraId="136F2550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Klasifikacijski rang:   9</w:t>
      </w:r>
    </w:p>
    <w:p w14:paraId="29F72C2E" w14:textId="77777777" w:rsidR="00510BD2" w:rsidRPr="00510BD2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A7C4052" w14:textId="1A7865AB" w:rsidR="00281458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10BD2">
        <w:rPr>
          <w:rFonts w:eastAsia="Calibri"/>
          <w:b/>
          <w:sz w:val="22"/>
          <w:szCs w:val="22"/>
          <w:lang w:eastAsia="en-US"/>
        </w:rPr>
        <w:t>Naziv:    VIŠI REFERENT ZA KOMUNALNO GOSPODARSTVO</w:t>
      </w:r>
    </w:p>
    <w:p w14:paraId="17E11EE6" w14:textId="77777777" w:rsidR="00510BD2" w:rsidRPr="008B0E37" w:rsidRDefault="00510BD2" w:rsidP="00510BD2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BBC6B6C" w14:textId="77777777"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Potrebno stručno znanje:</w:t>
      </w:r>
    </w:p>
    <w:p w14:paraId="4665B7BC" w14:textId="02386B3D" w:rsidR="00510BD2" w:rsidRPr="00510BD2" w:rsidRDefault="00510BD2" w:rsidP="00510BD2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>- sveučilišni prvostupnik ili stručni prvostupnik ekonomske ili upravne struke</w:t>
      </w:r>
    </w:p>
    <w:p w14:paraId="474685EE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najmanje jedna godina radnog iskustva na odgovarajućim poslovima</w:t>
      </w:r>
    </w:p>
    <w:p w14:paraId="778CE51B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organizacijske sposobnosti</w:t>
      </w:r>
    </w:p>
    <w:p w14:paraId="733E415B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položen državni ispit</w:t>
      </w:r>
    </w:p>
    <w:p w14:paraId="365E2656" w14:textId="77777777" w:rsidR="00510BD2" w:rsidRPr="00510BD2" w:rsidRDefault="00510BD2" w:rsidP="00510BD2">
      <w:pPr>
        <w:spacing w:line="276" w:lineRule="auto"/>
        <w:jc w:val="both"/>
        <w:rPr>
          <w:sz w:val="22"/>
          <w:szCs w:val="22"/>
          <w:lang w:eastAsia="en-US"/>
        </w:rPr>
      </w:pPr>
      <w:r w:rsidRPr="00510BD2">
        <w:rPr>
          <w:sz w:val="22"/>
          <w:szCs w:val="22"/>
          <w:lang w:eastAsia="en-US"/>
        </w:rPr>
        <w:tab/>
        <w:t>- poznavanje rada na računalu</w:t>
      </w:r>
    </w:p>
    <w:p w14:paraId="314182E7" w14:textId="77777777"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</w:p>
    <w:p w14:paraId="25E41B63" w14:textId="77777777" w:rsidR="00510BD2" w:rsidRPr="00510BD2" w:rsidRDefault="00510BD2" w:rsidP="00510BD2">
      <w:pPr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t>Složenost poslova:</w:t>
      </w:r>
    </w:p>
    <w:p w14:paraId="3AFB754A" w14:textId="77777777" w:rsidR="00510BD2" w:rsidRPr="00510BD2" w:rsidRDefault="00510BD2" w:rsidP="00510BD2">
      <w:pPr>
        <w:jc w:val="both"/>
        <w:rPr>
          <w:sz w:val="22"/>
          <w:szCs w:val="22"/>
        </w:rPr>
      </w:pPr>
      <w:r w:rsidRPr="00510BD2">
        <w:rPr>
          <w:b/>
          <w:sz w:val="22"/>
          <w:szCs w:val="22"/>
        </w:rPr>
        <w:tab/>
        <w:t xml:space="preserve">- </w:t>
      </w:r>
      <w:r w:rsidRPr="00510BD2">
        <w:rPr>
          <w:sz w:val="22"/>
          <w:szCs w:val="22"/>
        </w:rPr>
        <w:t>stupanj složenosti koji uključuje izričito određene poslove koji zahtijevaju primjenu jednostavnijih i precizno utvrđenih postupaka, metoda rada i stručnih tehnika</w:t>
      </w:r>
    </w:p>
    <w:p w14:paraId="5BCF66EE" w14:textId="77777777" w:rsidR="00510BD2" w:rsidRPr="00510BD2" w:rsidRDefault="00510BD2" w:rsidP="00510BD2">
      <w:pPr>
        <w:jc w:val="both"/>
        <w:rPr>
          <w:b/>
          <w:sz w:val="22"/>
          <w:szCs w:val="22"/>
        </w:rPr>
      </w:pPr>
    </w:p>
    <w:p w14:paraId="3EACAA81" w14:textId="77777777" w:rsidR="00510BD2" w:rsidRPr="00510BD2" w:rsidRDefault="00510BD2" w:rsidP="00510BD2">
      <w:pPr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t>Samostalnost u radu:</w:t>
      </w:r>
    </w:p>
    <w:p w14:paraId="0115DBE0" w14:textId="77777777" w:rsidR="00510BD2" w:rsidRPr="00510BD2" w:rsidRDefault="00510BD2" w:rsidP="00510BD2">
      <w:pPr>
        <w:rPr>
          <w:sz w:val="22"/>
          <w:szCs w:val="22"/>
        </w:rPr>
      </w:pPr>
      <w:r w:rsidRPr="00510BD2">
        <w:rPr>
          <w:b/>
          <w:sz w:val="22"/>
          <w:szCs w:val="22"/>
        </w:rPr>
        <w:tab/>
        <w:t xml:space="preserve">- </w:t>
      </w:r>
      <w:r w:rsidRPr="00510BD2">
        <w:rPr>
          <w:sz w:val="22"/>
          <w:szCs w:val="22"/>
        </w:rPr>
        <w:t>stupanj samostalnosti koji uključuje redovan nadzor nadređenog službenika te njegove upute za rješavanje relativno složenih stručnih problema</w:t>
      </w:r>
    </w:p>
    <w:p w14:paraId="3EA0DF04" w14:textId="77777777" w:rsidR="00510BD2" w:rsidRPr="00510BD2" w:rsidRDefault="00510BD2" w:rsidP="00510BD2">
      <w:pPr>
        <w:rPr>
          <w:b/>
          <w:sz w:val="22"/>
          <w:szCs w:val="22"/>
        </w:rPr>
      </w:pPr>
    </w:p>
    <w:p w14:paraId="3C987099" w14:textId="77777777" w:rsidR="00510BD2" w:rsidRPr="00510BD2" w:rsidRDefault="00510BD2" w:rsidP="00510BD2">
      <w:pPr>
        <w:jc w:val="both"/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t>Stupanj odgovornosti:</w:t>
      </w:r>
    </w:p>
    <w:p w14:paraId="3F248236" w14:textId="70EFE225" w:rsidR="00510BD2" w:rsidRDefault="00510BD2" w:rsidP="00510BD2">
      <w:pPr>
        <w:jc w:val="both"/>
        <w:rPr>
          <w:sz w:val="22"/>
          <w:szCs w:val="22"/>
        </w:rPr>
      </w:pPr>
      <w:r w:rsidRPr="00510BD2">
        <w:rPr>
          <w:sz w:val="22"/>
          <w:szCs w:val="22"/>
        </w:rPr>
        <w:tab/>
        <w:t xml:space="preserve">- stupanj odgovornosti koji uključuje odgovornost za materijalne resurse s kojima </w:t>
      </w:r>
      <w:r w:rsidRPr="00510BD2">
        <w:rPr>
          <w:sz w:val="22"/>
          <w:szCs w:val="22"/>
        </w:rPr>
        <w:tab/>
        <w:t>službenik radi, te ispravnu primjenu postupaka, metoda rada i stručnih tehnika,</w:t>
      </w:r>
    </w:p>
    <w:p w14:paraId="3F6EA039" w14:textId="77777777" w:rsidR="00A02557" w:rsidRDefault="00A02557" w:rsidP="00510BD2">
      <w:pPr>
        <w:jc w:val="both"/>
        <w:rPr>
          <w:sz w:val="22"/>
          <w:szCs w:val="22"/>
        </w:rPr>
      </w:pPr>
    </w:p>
    <w:p w14:paraId="12D09CEE" w14:textId="31A91A9C" w:rsidR="00510BD2" w:rsidRPr="00510BD2" w:rsidRDefault="00510BD2" w:rsidP="00510BD2">
      <w:pPr>
        <w:jc w:val="both"/>
        <w:rPr>
          <w:b/>
          <w:sz w:val="22"/>
          <w:szCs w:val="22"/>
        </w:rPr>
      </w:pPr>
      <w:r w:rsidRPr="00510BD2">
        <w:rPr>
          <w:b/>
          <w:sz w:val="22"/>
          <w:szCs w:val="22"/>
        </w:rPr>
        <w:lastRenderedPageBreak/>
        <w:t>Stupanj stručne komunikacije:</w:t>
      </w:r>
    </w:p>
    <w:p w14:paraId="68210DFB" w14:textId="77777777" w:rsidR="00510BD2" w:rsidRPr="00510BD2" w:rsidRDefault="00510BD2" w:rsidP="00510BD2">
      <w:pPr>
        <w:jc w:val="both"/>
        <w:rPr>
          <w:sz w:val="22"/>
          <w:szCs w:val="22"/>
        </w:rPr>
      </w:pPr>
      <w:r w:rsidRPr="00510BD2">
        <w:rPr>
          <w:sz w:val="22"/>
          <w:szCs w:val="22"/>
        </w:rPr>
        <w:tab/>
        <w:t>-stupanj stručnih komunikacija koji uključuje komunikaciju unutar nižih unutarnjih ustrojstvenih jedinica</w:t>
      </w:r>
    </w:p>
    <w:p w14:paraId="6808A93C" w14:textId="77777777"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510BD2" w:rsidRPr="00510BD2" w14:paraId="502AB033" w14:textId="77777777" w:rsidTr="00A337BB">
        <w:tc>
          <w:tcPr>
            <w:tcW w:w="6487" w:type="dxa"/>
            <w:shd w:val="clear" w:color="auto" w:fill="auto"/>
          </w:tcPr>
          <w:p w14:paraId="64268534" w14:textId="77777777" w:rsidR="00510BD2" w:rsidRPr="00510BD2" w:rsidRDefault="00510BD2" w:rsidP="00510BD2">
            <w:pPr>
              <w:rPr>
                <w:b/>
                <w:sz w:val="22"/>
                <w:szCs w:val="22"/>
              </w:rPr>
            </w:pPr>
            <w:r w:rsidRPr="00510BD2">
              <w:rPr>
                <w:b/>
                <w:sz w:val="22"/>
                <w:szCs w:val="22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34D0FA9A" w14:textId="77777777" w:rsidR="00510BD2" w:rsidRPr="00510BD2" w:rsidRDefault="00510BD2" w:rsidP="00510BD2">
            <w:pPr>
              <w:rPr>
                <w:b/>
                <w:sz w:val="22"/>
                <w:szCs w:val="22"/>
              </w:rPr>
            </w:pPr>
            <w:r w:rsidRPr="00510BD2">
              <w:rPr>
                <w:b/>
                <w:sz w:val="22"/>
                <w:szCs w:val="22"/>
              </w:rPr>
              <w:t>Približan postotak vremena  potreban za obavljanje pojedinog posla</w:t>
            </w:r>
          </w:p>
        </w:tc>
      </w:tr>
      <w:tr w:rsidR="00510BD2" w:rsidRPr="00510BD2" w14:paraId="1D81D85A" w14:textId="77777777" w:rsidTr="00A337BB">
        <w:tc>
          <w:tcPr>
            <w:tcW w:w="6487" w:type="dxa"/>
            <w:shd w:val="clear" w:color="auto" w:fill="auto"/>
          </w:tcPr>
          <w:p w14:paraId="10B66E98" w14:textId="77777777" w:rsidR="00510BD2" w:rsidRPr="00510BD2" w:rsidRDefault="00510BD2" w:rsidP="00510BD2">
            <w:pPr>
              <w:rPr>
                <w:bCs/>
                <w:sz w:val="22"/>
                <w:szCs w:val="22"/>
              </w:rPr>
            </w:pPr>
            <w:r w:rsidRPr="00510BD2">
              <w:rPr>
                <w:bCs/>
                <w:sz w:val="22"/>
                <w:szCs w:val="22"/>
              </w:rPr>
              <w:t xml:space="preserve">Samostalno rješava predmete vezanih uz legalizaciju bespravno sagrađenih objekata, a koji su u nadležnosti Upravnog odjela                                         </w:t>
            </w:r>
          </w:p>
        </w:tc>
        <w:tc>
          <w:tcPr>
            <w:tcW w:w="2801" w:type="dxa"/>
            <w:shd w:val="clear" w:color="auto" w:fill="auto"/>
          </w:tcPr>
          <w:p w14:paraId="41BD7D6F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0A63F2C0" w14:textId="77777777" w:rsidTr="00A337BB">
        <w:tc>
          <w:tcPr>
            <w:tcW w:w="6487" w:type="dxa"/>
            <w:shd w:val="clear" w:color="auto" w:fill="auto"/>
          </w:tcPr>
          <w:p w14:paraId="1955C40C" w14:textId="77777777" w:rsidR="00510BD2" w:rsidRPr="00510BD2" w:rsidRDefault="00510BD2" w:rsidP="00510BD2">
            <w:pPr>
              <w:rPr>
                <w:bCs/>
                <w:sz w:val="22"/>
                <w:szCs w:val="22"/>
              </w:rPr>
            </w:pPr>
            <w:r w:rsidRPr="00510BD2">
              <w:rPr>
                <w:bCs/>
                <w:sz w:val="22"/>
                <w:szCs w:val="22"/>
              </w:rPr>
              <w:t>Donosi rješenja u upravnom postupku u domeni komunalnog gospodarstva (komunalni doprinos, komunalna naknada), postupa po žalbama izjavljenih na prvostupanjska rješenja</w:t>
            </w:r>
          </w:p>
        </w:tc>
        <w:tc>
          <w:tcPr>
            <w:tcW w:w="2801" w:type="dxa"/>
            <w:shd w:val="clear" w:color="auto" w:fill="auto"/>
          </w:tcPr>
          <w:p w14:paraId="0A4EC18D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20</w:t>
            </w:r>
          </w:p>
        </w:tc>
      </w:tr>
      <w:tr w:rsidR="00510BD2" w:rsidRPr="00510BD2" w14:paraId="67AA2EEF" w14:textId="77777777" w:rsidTr="00A337BB">
        <w:tc>
          <w:tcPr>
            <w:tcW w:w="6487" w:type="dxa"/>
            <w:shd w:val="clear" w:color="auto" w:fill="auto"/>
          </w:tcPr>
          <w:p w14:paraId="37646FE4" w14:textId="77777777" w:rsidR="00510BD2" w:rsidRPr="00510BD2" w:rsidRDefault="00510BD2" w:rsidP="00510BD2">
            <w:pPr>
              <w:rPr>
                <w:bCs/>
                <w:sz w:val="22"/>
                <w:szCs w:val="22"/>
              </w:rPr>
            </w:pPr>
            <w:r w:rsidRPr="00510BD2">
              <w:rPr>
                <w:bCs/>
                <w:sz w:val="22"/>
                <w:szCs w:val="22"/>
              </w:rPr>
              <w:t>Prati naplatu komunalne naknade i komunalnog doprinosa te pokreće radnje sa ciljem njihove naplate</w:t>
            </w:r>
          </w:p>
        </w:tc>
        <w:tc>
          <w:tcPr>
            <w:tcW w:w="2801" w:type="dxa"/>
            <w:shd w:val="clear" w:color="auto" w:fill="auto"/>
          </w:tcPr>
          <w:p w14:paraId="232543E3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551894E3" w14:textId="77777777" w:rsidTr="00A337BB">
        <w:tc>
          <w:tcPr>
            <w:tcW w:w="6487" w:type="dxa"/>
            <w:shd w:val="clear" w:color="auto" w:fill="auto"/>
          </w:tcPr>
          <w:p w14:paraId="06D76E01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Prati propise iz područja komunalnog gospodarstva i brine o primjeni istih, sudjeluje u izradi općih i pojedinačnih akata iz područja komunalnog gospodarstva</w:t>
            </w:r>
          </w:p>
        </w:tc>
        <w:tc>
          <w:tcPr>
            <w:tcW w:w="2801" w:type="dxa"/>
            <w:shd w:val="clear" w:color="auto" w:fill="auto"/>
          </w:tcPr>
          <w:p w14:paraId="11A3D46A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1263CFBD" w14:textId="77777777" w:rsidTr="00A337BB">
        <w:tc>
          <w:tcPr>
            <w:tcW w:w="6487" w:type="dxa"/>
            <w:shd w:val="clear" w:color="auto" w:fill="auto"/>
          </w:tcPr>
          <w:p w14:paraId="2B14B304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Prikuplja i obrađuje podatke potrebne za izradu programa, izvješća, analiza, informacija i drugih materijala iz područja graditeljstva i prostornog uređenja</w:t>
            </w:r>
          </w:p>
        </w:tc>
        <w:tc>
          <w:tcPr>
            <w:tcW w:w="2801" w:type="dxa"/>
            <w:shd w:val="clear" w:color="auto" w:fill="auto"/>
          </w:tcPr>
          <w:p w14:paraId="54245F2B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16BFC75B" w14:textId="77777777" w:rsidTr="00A337BB">
        <w:tc>
          <w:tcPr>
            <w:tcW w:w="6487" w:type="dxa"/>
            <w:shd w:val="clear" w:color="auto" w:fill="auto"/>
          </w:tcPr>
          <w:p w14:paraId="1A253458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Sudjeluje u poslovima u vezi održavanja nerazvrstanih cesta, javne rasvjete, dječjih igrališta i druge komunalne infrastrukture</w:t>
            </w:r>
          </w:p>
        </w:tc>
        <w:tc>
          <w:tcPr>
            <w:tcW w:w="2801" w:type="dxa"/>
            <w:shd w:val="clear" w:color="auto" w:fill="auto"/>
          </w:tcPr>
          <w:p w14:paraId="2055CDAA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  <w:tr w:rsidR="00510BD2" w:rsidRPr="00510BD2" w14:paraId="0700D466" w14:textId="77777777" w:rsidTr="00A337BB">
        <w:tc>
          <w:tcPr>
            <w:tcW w:w="6487" w:type="dxa"/>
            <w:shd w:val="clear" w:color="auto" w:fill="auto"/>
          </w:tcPr>
          <w:p w14:paraId="564FA44E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Vodi registar nerazvrstanih cesta na području Općine Vidovec</w:t>
            </w:r>
          </w:p>
        </w:tc>
        <w:tc>
          <w:tcPr>
            <w:tcW w:w="2801" w:type="dxa"/>
            <w:shd w:val="clear" w:color="auto" w:fill="auto"/>
          </w:tcPr>
          <w:p w14:paraId="485F31A8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4A9AC860" w14:textId="77777777" w:rsidTr="00A337BB">
        <w:tc>
          <w:tcPr>
            <w:tcW w:w="6487" w:type="dxa"/>
            <w:shd w:val="clear" w:color="auto" w:fill="auto"/>
          </w:tcPr>
          <w:p w14:paraId="45E102C7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Izrađuje nacrte rješenja kojima se odobrava prodaja poljoprivrednih proizvoda izvan tržnica na malo</w:t>
            </w:r>
          </w:p>
        </w:tc>
        <w:tc>
          <w:tcPr>
            <w:tcW w:w="2801" w:type="dxa"/>
            <w:shd w:val="clear" w:color="auto" w:fill="auto"/>
          </w:tcPr>
          <w:p w14:paraId="64346F32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2B792A1B" w14:textId="77777777" w:rsidTr="00A337BB">
        <w:tc>
          <w:tcPr>
            <w:tcW w:w="6487" w:type="dxa"/>
            <w:shd w:val="clear" w:color="auto" w:fill="auto"/>
          </w:tcPr>
          <w:p w14:paraId="2F05E457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Izrađuje nacrte potvrde o namjeni zemljišta iz Prostornog plana uređenja Općine Vidovec</w:t>
            </w:r>
          </w:p>
        </w:tc>
        <w:tc>
          <w:tcPr>
            <w:tcW w:w="2801" w:type="dxa"/>
            <w:shd w:val="clear" w:color="auto" w:fill="auto"/>
          </w:tcPr>
          <w:p w14:paraId="1015B2CD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3B29C7E4" w14:textId="77777777" w:rsidTr="00A337BB">
        <w:tc>
          <w:tcPr>
            <w:tcW w:w="6487" w:type="dxa"/>
            <w:shd w:val="clear" w:color="auto" w:fill="auto"/>
          </w:tcPr>
          <w:p w14:paraId="62511A29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Sudjeluje u provođenju Programa zaštite divljači na području Općine Vidovec</w:t>
            </w:r>
          </w:p>
        </w:tc>
        <w:tc>
          <w:tcPr>
            <w:tcW w:w="2801" w:type="dxa"/>
            <w:shd w:val="clear" w:color="auto" w:fill="auto"/>
          </w:tcPr>
          <w:p w14:paraId="5C657441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5</w:t>
            </w:r>
          </w:p>
        </w:tc>
      </w:tr>
      <w:tr w:rsidR="00510BD2" w:rsidRPr="00510BD2" w14:paraId="2C888687" w14:textId="77777777" w:rsidTr="00A337BB">
        <w:tc>
          <w:tcPr>
            <w:tcW w:w="6487" w:type="dxa"/>
            <w:shd w:val="clear" w:color="auto" w:fill="auto"/>
          </w:tcPr>
          <w:p w14:paraId="4CE64D58" w14:textId="77777777" w:rsidR="00510BD2" w:rsidRPr="00510BD2" w:rsidRDefault="00510BD2" w:rsidP="00510BD2">
            <w:pPr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 xml:space="preserve">Obavlja i druge poslove iz djelokruga Jedinstvenog upravnog odjela po nalogu pročelnika Jedinstvenog upravnog odjela </w:t>
            </w:r>
          </w:p>
        </w:tc>
        <w:tc>
          <w:tcPr>
            <w:tcW w:w="2801" w:type="dxa"/>
            <w:shd w:val="clear" w:color="auto" w:fill="auto"/>
          </w:tcPr>
          <w:p w14:paraId="3A3208CD" w14:textId="77777777" w:rsidR="00510BD2" w:rsidRPr="00510BD2" w:rsidRDefault="00510BD2" w:rsidP="00510BD2">
            <w:pPr>
              <w:jc w:val="center"/>
              <w:rPr>
                <w:sz w:val="22"/>
                <w:szCs w:val="22"/>
              </w:rPr>
            </w:pPr>
            <w:r w:rsidRPr="00510BD2">
              <w:rPr>
                <w:sz w:val="22"/>
                <w:szCs w:val="22"/>
              </w:rPr>
              <w:t>10</w:t>
            </w:r>
          </w:p>
        </w:tc>
      </w:tr>
    </w:tbl>
    <w:p w14:paraId="5E46C325" w14:textId="77777777" w:rsidR="00C54A71" w:rsidRDefault="00C54A71" w:rsidP="00C54A71"/>
    <w:p w14:paraId="5BB9595A" w14:textId="77777777"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14:paraId="70A5B5A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203686FC" w14:textId="02AD6C10"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</w:t>
      </w:r>
      <w:r w:rsidR="00510BD2">
        <w:rPr>
          <w:rFonts w:eastAsia="Calibri"/>
          <w:sz w:val="24"/>
          <w:szCs w:val="24"/>
        </w:rPr>
        <w:t>20/21, 8/22 i 24/22</w:t>
      </w:r>
      <w:r w:rsidRPr="008B0E37">
        <w:rPr>
          <w:rFonts w:eastAsia="Calibri"/>
          <w:sz w:val="24"/>
          <w:szCs w:val="24"/>
        </w:rPr>
        <w:t xml:space="preserve">.). </w:t>
      </w:r>
    </w:p>
    <w:p w14:paraId="66E537C1" w14:textId="77777777"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98C886" w14:textId="5217434E" w:rsid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Plaću službenika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14:paraId="617DE898" w14:textId="77777777" w:rsidR="00510BD2" w:rsidRPr="008B0E37" w:rsidRDefault="00510BD2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A517540" w14:textId="77777777" w:rsidR="008B0E37" w:rsidRPr="008B0E37" w:rsidRDefault="00C54A71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Službenik </w:t>
      </w:r>
      <w:r w:rsidR="008B0E37" w:rsidRPr="008B0E37">
        <w:rPr>
          <w:rFonts w:eastAsia="Calibri"/>
          <w:sz w:val="24"/>
          <w:szCs w:val="24"/>
        </w:rPr>
        <w:t xml:space="preserve">ostvaruje plaću prema slijedećim kriterijima: </w:t>
      </w:r>
    </w:p>
    <w:p w14:paraId="620BF769" w14:textId="4B8A35F3" w:rsidR="00C54A71" w:rsidRDefault="008B0E37" w:rsidP="0059339F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 w:rsidR="00C54A71">
        <w:rPr>
          <w:rFonts w:eastAsia="Calibri"/>
          <w:sz w:val="24"/>
          <w:szCs w:val="24"/>
        </w:rPr>
        <w:t xml:space="preserve">ent za obračun plaće iznosi </w:t>
      </w:r>
      <w:r w:rsidR="00510BD2">
        <w:rPr>
          <w:rFonts w:eastAsia="Calibri"/>
          <w:sz w:val="24"/>
          <w:szCs w:val="24"/>
        </w:rPr>
        <w:t>2,05</w:t>
      </w:r>
      <w:r w:rsidRPr="008B0E37">
        <w:rPr>
          <w:rFonts w:eastAsia="Calibri"/>
          <w:sz w:val="24"/>
          <w:szCs w:val="24"/>
        </w:rPr>
        <w:t xml:space="preserve"> uz osno</w:t>
      </w:r>
      <w:r w:rsidR="0042154B">
        <w:rPr>
          <w:rFonts w:eastAsia="Calibri"/>
          <w:sz w:val="24"/>
          <w:szCs w:val="24"/>
        </w:rPr>
        <w:t xml:space="preserve">vicu plaće u bruto iznosu od </w:t>
      </w:r>
      <w:r w:rsidR="00A02557">
        <w:rPr>
          <w:rFonts w:eastAsia="Calibri"/>
          <w:sz w:val="24"/>
          <w:szCs w:val="24"/>
        </w:rPr>
        <w:t>627,55 eura</w:t>
      </w:r>
      <w:r w:rsidRPr="008B0E37">
        <w:rPr>
          <w:rFonts w:eastAsia="Calibri"/>
          <w:sz w:val="24"/>
          <w:szCs w:val="24"/>
        </w:rPr>
        <w:t>.</w:t>
      </w:r>
      <w:r w:rsidR="00C54A71">
        <w:rPr>
          <w:rFonts w:eastAsia="Calibri"/>
          <w:b/>
          <w:bCs/>
          <w:sz w:val="24"/>
          <w:szCs w:val="24"/>
        </w:rPr>
        <w:br w:type="page"/>
      </w:r>
    </w:p>
    <w:p w14:paraId="001F5BDA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lastRenderedPageBreak/>
        <w:t>UPUTE ZA PRIPREMANJE KANDIDATA ZA TESTIRANJE</w:t>
      </w:r>
    </w:p>
    <w:p w14:paraId="4E13727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B1B28E1" w14:textId="7C13824B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Provjera znanja i sposobnosti bitnih za obavljanje poslova radnog mjesta</w:t>
      </w:r>
      <w:r w:rsidR="00141444">
        <w:rPr>
          <w:rFonts w:eastAsia="Calibri"/>
          <w:b/>
          <w:bCs/>
          <w:sz w:val="24"/>
          <w:szCs w:val="24"/>
        </w:rPr>
        <w:t xml:space="preserve"> v</w:t>
      </w:r>
      <w:r w:rsidR="00510BD2">
        <w:rPr>
          <w:rFonts w:eastAsia="Calibri"/>
          <w:b/>
          <w:bCs/>
          <w:sz w:val="24"/>
          <w:szCs w:val="24"/>
        </w:rPr>
        <w:t xml:space="preserve">iši </w:t>
      </w:r>
      <w:r w:rsidR="00510BD2">
        <w:rPr>
          <w:rFonts w:eastAsia="Calibri"/>
          <w:b/>
          <w:sz w:val="24"/>
          <w:szCs w:val="24"/>
        </w:rPr>
        <w:t>r</w:t>
      </w:r>
      <w:r w:rsidR="00C54A71">
        <w:rPr>
          <w:rFonts w:eastAsia="Calibri"/>
          <w:b/>
          <w:sz w:val="24"/>
          <w:szCs w:val="24"/>
        </w:rPr>
        <w:t>eferent/</w:t>
      </w:r>
      <w:r w:rsidR="00510BD2">
        <w:rPr>
          <w:rFonts w:eastAsia="Calibri"/>
          <w:b/>
          <w:sz w:val="24"/>
          <w:szCs w:val="24"/>
        </w:rPr>
        <w:t xml:space="preserve">viša </w:t>
      </w:r>
      <w:r w:rsidR="00C54A71">
        <w:rPr>
          <w:rFonts w:eastAsia="Calibri"/>
          <w:b/>
          <w:sz w:val="24"/>
          <w:szCs w:val="24"/>
        </w:rPr>
        <w:t>referentica</w:t>
      </w:r>
      <w:r w:rsidR="00510BD2">
        <w:rPr>
          <w:rFonts w:eastAsia="Calibri"/>
          <w:b/>
          <w:sz w:val="24"/>
          <w:szCs w:val="24"/>
        </w:rPr>
        <w:t xml:space="preserve"> za komunalno gospodarstvo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znanja:</w:t>
      </w:r>
    </w:p>
    <w:p w14:paraId="3BFC2C4F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43CB41B" w14:textId="77777777"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14:paraId="37D64EBE" w14:textId="77777777" w:rsidR="005202D3" w:rsidRPr="005202D3" w:rsidRDefault="005202D3" w:rsidP="005202D3">
      <w:pPr>
        <w:spacing w:line="276" w:lineRule="auto"/>
        <w:rPr>
          <w:sz w:val="24"/>
          <w:szCs w:val="24"/>
        </w:rPr>
      </w:pPr>
    </w:p>
    <w:p w14:paraId="3397AE2F" w14:textId="77777777" w:rsidR="005202D3" w:rsidRPr="005202D3" w:rsidRDefault="005202D3" w:rsidP="005202D3">
      <w:pPr>
        <w:spacing w:line="276" w:lineRule="auto"/>
        <w:ind w:left="708"/>
        <w:rPr>
          <w:b/>
          <w:sz w:val="24"/>
          <w:szCs w:val="24"/>
        </w:rPr>
      </w:pPr>
      <w:r w:rsidRPr="005202D3">
        <w:rPr>
          <w:b/>
          <w:sz w:val="24"/>
          <w:szCs w:val="24"/>
        </w:rPr>
        <w:t>Opći dio</w:t>
      </w:r>
    </w:p>
    <w:p w14:paraId="5D020EC6" w14:textId="77777777" w:rsidR="005202D3" w:rsidRDefault="005202D3" w:rsidP="00141444">
      <w:p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 xml:space="preserve">Pitanja kojima se testira poznavanje </w:t>
      </w:r>
      <w:r>
        <w:rPr>
          <w:sz w:val="24"/>
          <w:szCs w:val="24"/>
        </w:rPr>
        <w:t>osnova</w:t>
      </w:r>
      <w:r w:rsidRPr="005202D3">
        <w:rPr>
          <w:sz w:val="24"/>
          <w:szCs w:val="24"/>
        </w:rPr>
        <w:t xml:space="preserve"> djelokruga jedinica lokalne i područne (regionalne) samouprave i samoupravnog djelokruga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temelje se na slijedećim izvorima:</w:t>
      </w:r>
    </w:p>
    <w:p w14:paraId="32FDA9A2" w14:textId="77777777" w:rsid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48616E50" w14:textId="0E594952" w:rsidR="005202D3" w:rsidRPr="005202D3" w:rsidRDefault="005202D3" w:rsidP="0014144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>Zakon o lokalnoj i područnoj (regionalnoj) samoupravi (</w:t>
      </w:r>
      <w:r w:rsidR="00141444">
        <w:rPr>
          <w:sz w:val="24"/>
          <w:szCs w:val="24"/>
        </w:rPr>
        <w:t>„Narodne novine“</w:t>
      </w:r>
      <w:r w:rsidRPr="005202D3">
        <w:rPr>
          <w:sz w:val="24"/>
          <w:szCs w:val="24"/>
        </w:rPr>
        <w:t xml:space="preserve"> br. </w:t>
      </w:r>
      <w:r w:rsidR="00851A0B" w:rsidRPr="00851A0B">
        <w:rPr>
          <w:sz w:val="24"/>
          <w:szCs w:val="24"/>
        </w:rPr>
        <w:t>33/01, 60/01, 129/05, 109/07, 125/08, 36/09, 36/09, 150/11, 144/12, 19/13, 137/15, 123/17, 98/19, 144/20</w:t>
      </w:r>
      <w:r w:rsidRPr="005202D3">
        <w:rPr>
          <w:sz w:val="24"/>
          <w:szCs w:val="24"/>
        </w:rPr>
        <w:t>)</w:t>
      </w:r>
    </w:p>
    <w:p w14:paraId="5CD1D152" w14:textId="075C175B" w:rsidR="005202D3" w:rsidRDefault="005202D3" w:rsidP="005202D3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 xml:space="preserve">Statut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(“Službeni </w:t>
      </w:r>
      <w:r>
        <w:rPr>
          <w:sz w:val="24"/>
          <w:szCs w:val="24"/>
        </w:rPr>
        <w:t xml:space="preserve">vjesnik Varaždinske županije“ broj </w:t>
      </w:r>
      <w:r w:rsidR="00141444">
        <w:rPr>
          <w:sz w:val="24"/>
          <w:szCs w:val="24"/>
        </w:rPr>
        <w:t>20/21</w:t>
      </w:r>
      <w:r w:rsidRPr="005202D3">
        <w:rPr>
          <w:sz w:val="24"/>
          <w:szCs w:val="24"/>
        </w:rPr>
        <w:t>)</w:t>
      </w:r>
    </w:p>
    <w:p w14:paraId="013BBAF2" w14:textId="77777777" w:rsidR="00896DE7" w:rsidRDefault="00896DE7" w:rsidP="00896DE7">
      <w:pPr>
        <w:spacing w:line="276" w:lineRule="auto"/>
        <w:rPr>
          <w:sz w:val="24"/>
          <w:szCs w:val="24"/>
        </w:rPr>
      </w:pPr>
    </w:p>
    <w:p w14:paraId="785823F5" w14:textId="77777777" w:rsidR="005202D3" w:rsidRDefault="005202D3" w:rsidP="005202D3">
      <w:pPr>
        <w:spacing w:line="276" w:lineRule="auto"/>
        <w:ind w:firstLine="360"/>
        <w:rPr>
          <w:sz w:val="24"/>
          <w:szCs w:val="24"/>
        </w:rPr>
      </w:pPr>
    </w:p>
    <w:p w14:paraId="686860CB" w14:textId="77777777" w:rsidR="005202D3" w:rsidRPr="005202D3" w:rsidRDefault="005202D3" w:rsidP="005202D3">
      <w:pPr>
        <w:spacing w:line="276" w:lineRule="auto"/>
        <w:ind w:firstLine="360"/>
        <w:rPr>
          <w:sz w:val="24"/>
          <w:szCs w:val="24"/>
        </w:rPr>
      </w:pPr>
      <w:r w:rsidRPr="005202D3">
        <w:rPr>
          <w:b/>
          <w:bCs/>
          <w:sz w:val="24"/>
          <w:szCs w:val="24"/>
        </w:rPr>
        <w:t>Posebni dio</w:t>
      </w:r>
    </w:p>
    <w:p w14:paraId="07563014" w14:textId="77777777" w:rsidR="005202D3" w:rsidRDefault="005202D3" w:rsidP="00141444">
      <w:pPr>
        <w:spacing w:line="276" w:lineRule="auto"/>
        <w:jc w:val="both"/>
        <w:rPr>
          <w:sz w:val="24"/>
          <w:szCs w:val="24"/>
        </w:rPr>
      </w:pPr>
      <w:r w:rsidRPr="005202D3">
        <w:rPr>
          <w:sz w:val="24"/>
          <w:szCs w:val="24"/>
        </w:rPr>
        <w:t>Pitanja kojima se testira provjera poznavanja zakona i drugih propisa vezanih uz djelokrug organizacijske jedinice u koju se kandidat prima i poslova na koje se prima temelje se na slijedećim izvorima:</w:t>
      </w:r>
    </w:p>
    <w:p w14:paraId="107F2B10" w14:textId="77777777" w:rsidR="005202D3" w:rsidRP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79A3B656" w14:textId="72F8C277" w:rsidR="005202D3" w:rsidRDefault="00896DE7" w:rsidP="005202D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Zakon o komunalnom gospodarstvu </w:t>
      </w:r>
      <w:r w:rsidRPr="00896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(„Narodne novine“ broj </w:t>
      </w:r>
      <w:r w:rsidRPr="00896DE7">
        <w:rPr>
          <w:sz w:val="24"/>
          <w:szCs w:val="24"/>
        </w:rPr>
        <w:t>68/18, 110/18, 32/20</w:t>
      </w:r>
      <w:r>
        <w:rPr>
          <w:sz w:val="24"/>
          <w:szCs w:val="24"/>
        </w:rPr>
        <w:t>)</w:t>
      </w:r>
    </w:p>
    <w:p w14:paraId="4C494937" w14:textId="7B2C2902" w:rsidR="00141444" w:rsidRDefault="00141444" w:rsidP="005202D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Zakon o općem upravnom postupku („Narodne novine“ broj </w:t>
      </w:r>
      <w:r w:rsidRPr="00141444">
        <w:rPr>
          <w:sz w:val="24"/>
          <w:szCs w:val="24"/>
        </w:rPr>
        <w:t>47/09, 110/21</w:t>
      </w:r>
      <w:r>
        <w:rPr>
          <w:sz w:val="24"/>
          <w:szCs w:val="24"/>
        </w:rPr>
        <w:t>)</w:t>
      </w:r>
    </w:p>
    <w:p w14:paraId="748CCAD3" w14:textId="33C08399" w:rsidR="00AD7E13" w:rsidRPr="00AD7E13" w:rsidRDefault="00AD7E13" w:rsidP="00AD7E1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AD7E13">
        <w:rPr>
          <w:sz w:val="24"/>
          <w:szCs w:val="24"/>
        </w:rPr>
        <w:t xml:space="preserve">Zakon o gradnji („Narodne novine“, broj </w:t>
      </w:r>
      <w:r w:rsidR="00851A0B" w:rsidRPr="00851A0B">
        <w:rPr>
          <w:sz w:val="24"/>
          <w:szCs w:val="24"/>
        </w:rPr>
        <w:t>153/13, 20/17, 39/19, 125/19</w:t>
      </w:r>
      <w:r w:rsidRPr="00AD7E13">
        <w:rPr>
          <w:sz w:val="24"/>
          <w:szCs w:val="24"/>
        </w:rPr>
        <w:t>)</w:t>
      </w:r>
    </w:p>
    <w:p w14:paraId="682E1E72" w14:textId="7F426852" w:rsidR="00AD7E13" w:rsidRPr="005202D3" w:rsidRDefault="00AD7E13" w:rsidP="00AD7E1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AD7E13">
        <w:rPr>
          <w:sz w:val="24"/>
          <w:szCs w:val="24"/>
        </w:rPr>
        <w:t xml:space="preserve">Zakon o prostornom uređenju („Narodne novine“, broj: </w:t>
      </w:r>
      <w:r w:rsidR="00CC5088" w:rsidRPr="00CC5088">
        <w:rPr>
          <w:sz w:val="24"/>
          <w:szCs w:val="24"/>
        </w:rPr>
        <w:t>53/13, 65/17, 114/18, 39/19, 98/19</w:t>
      </w:r>
      <w:r w:rsidR="00A02557">
        <w:rPr>
          <w:sz w:val="24"/>
          <w:szCs w:val="24"/>
        </w:rPr>
        <w:t>, 67/23</w:t>
      </w:r>
      <w:r w:rsidRPr="00AD7E13">
        <w:rPr>
          <w:sz w:val="24"/>
          <w:szCs w:val="24"/>
        </w:rPr>
        <w:t>)</w:t>
      </w:r>
      <w:r w:rsidR="00CC5088">
        <w:rPr>
          <w:sz w:val="24"/>
          <w:szCs w:val="24"/>
        </w:rPr>
        <w:t>.</w:t>
      </w:r>
    </w:p>
    <w:p w14:paraId="189703EB" w14:textId="77777777" w:rsidR="006D751A" w:rsidRPr="00E84244" w:rsidRDefault="006D751A" w:rsidP="006D751A">
      <w:pPr>
        <w:spacing w:line="276" w:lineRule="auto"/>
        <w:ind w:left="708"/>
        <w:rPr>
          <w:sz w:val="24"/>
          <w:szCs w:val="24"/>
        </w:rPr>
      </w:pPr>
    </w:p>
    <w:p w14:paraId="747E1F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 xml:space="preserve">ji ispunjavaju formalne uvjete </w:t>
      </w:r>
      <w:r w:rsidR="00281458">
        <w:rPr>
          <w:sz w:val="24"/>
          <w:szCs w:val="24"/>
        </w:rPr>
        <w:t>oglasa</w:t>
      </w:r>
      <w:r w:rsidRPr="00E84244">
        <w:rPr>
          <w:sz w:val="24"/>
          <w:szCs w:val="24"/>
        </w:rPr>
        <w:t>.</w:t>
      </w:r>
    </w:p>
    <w:p w14:paraId="25977FC7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400DA9AB" w14:textId="77777777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6732DDAF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56F773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403E31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>će se da je povukao prijavu na oglas</w:t>
      </w:r>
      <w:r w:rsidRPr="00E84244">
        <w:rPr>
          <w:rFonts w:eastAsia="Calibri"/>
          <w:sz w:val="24"/>
          <w:szCs w:val="24"/>
        </w:rPr>
        <w:t>.</w:t>
      </w:r>
    </w:p>
    <w:p w14:paraId="2D0C72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1A302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759A955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5FEBA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68DFE5E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834A9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77D0AE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CB56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2CA287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>koristiti se bilo kakvom literaturom odnosno bilješkama;</w:t>
      </w:r>
    </w:p>
    <w:p w14:paraId="007EEE0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207DDD4E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179FC89D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67DFF4C1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14:paraId="15BD7DC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18ED51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F90D99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F8960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45A1580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59BBB0C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1079BC2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932FECE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2465DC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72D79ED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54F5AF0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4811AE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17DB29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DCABC4A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75A651A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89652CD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>.</w:t>
      </w:r>
    </w:p>
    <w:p w14:paraId="09F336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52863BA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AB729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0657436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CC088C7" w14:textId="77777777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614C0F07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E95ACE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>Povjerenstvo za provedbu oglasa</w:t>
      </w:r>
    </w:p>
    <w:p w14:paraId="3C4D73D1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260F0BF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897896">
    <w:abstractNumId w:val="0"/>
  </w:num>
  <w:num w:numId="2" w16cid:durableId="603732519">
    <w:abstractNumId w:val="2"/>
  </w:num>
  <w:num w:numId="3" w16cid:durableId="1361854925">
    <w:abstractNumId w:val="3"/>
  </w:num>
  <w:num w:numId="4" w16cid:durableId="968166428">
    <w:abstractNumId w:val="4"/>
  </w:num>
  <w:num w:numId="5" w16cid:durableId="163841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1A"/>
    <w:rsid w:val="00141444"/>
    <w:rsid w:val="001A6ACA"/>
    <w:rsid w:val="00223CBF"/>
    <w:rsid w:val="00281458"/>
    <w:rsid w:val="0042154B"/>
    <w:rsid w:val="004735E1"/>
    <w:rsid w:val="00510BD2"/>
    <w:rsid w:val="005202D3"/>
    <w:rsid w:val="0059339F"/>
    <w:rsid w:val="006D751A"/>
    <w:rsid w:val="006F7831"/>
    <w:rsid w:val="00851A0B"/>
    <w:rsid w:val="00896DE7"/>
    <w:rsid w:val="008B0E37"/>
    <w:rsid w:val="009D3197"/>
    <w:rsid w:val="009E6C72"/>
    <w:rsid w:val="00A02557"/>
    <w:rsid w:val="00A0265F"/>
    <w:rsid w:val="00AD7E13"/>
    <w:rsid w:val="00C54A71"/>
    <w:rsid w:val="00CC5088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1B9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5</cp:revision>
  <cp:lastPrinted>2019-03-12T07:55:00Z</cp:lastPrinted>
  <dcterms:created xsi:type="dcterms:W3CDTF">2019-03-12T08:01:00Z</dcterms:created>
  <dcterms:modified xsi:type="dcterms:W3CDTF">2023-07-12T13:01:00Z</dcterms:modified>
</cp:coreProperties>
</file>