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76DC" w14:textId="77777777" w:rsidR="00FF4E74" w:rsidRPr="004954C5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4954C5">
        <w:rPr>
          <w:rFonts w:eastAsia="Calibri"/>
          <w:b/>
          <w:bCs/>
          <w:sz w:val="24"/>
          <w:szCs w:val="24"/>
          <w:u w:val="single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786FBB5F" w14:textId="77777777" w:rsidR="00FF4E74" w:rsidRPr="004954C5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14:paraId="1067A11C" w14:textId="0FA4DFA7" w:rsidR="00FF4E74" w:rsidRPr="004954C5" w:rsidRDefault="00223CBF" w:rsidP="005250F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en-US"/>
        </w:rPr>
      </w:pPr>
      <w:r w:rsidRPr="004954C5">
        <w:rPr>
          <w:rFonts w:eastAsia="Calibri"/>
          <w:b/>
          <w:sz w:val="24"/>
          <w:szCs w:val="24"/>
        </w:rPr>
        <w:t xml:space="preserve">za  prijam u službu </w:t>
      </w:r>
      <w:bookmarkStart w:id="0" w:name="_Hlk157074292"/>
      <w:r w:rsidR="005250F5" w:rsidRPr="004954C5">
        <w:rPr>
          <w:rFonts w:eastAsia="Calibri"/>
          <w:b/>
          <w:sz w:val="24"/>
          <w:szCs w:val="24"/>
        </w:rPr>
        <w:t>vježbenika na određeno vrijeme od 12 mjeseci koji će se osposobljavati za službu i obavljati vježbeničku praksu (vježbenički staž) u Jedinstvenom upravnom odjelu Općine Vidovec, na poslovima radnog mjesta: VIŠI STRUČNI SURADNIK ZA OPĆE POSLOVE I EU FONDOVE</w:t>
      </w:r>
      <w:bookmarkEnd w:id="0"/>
    </w:p>
    <w:p w14:paraId="729C71C8" w14:textId="77777777" w:rsidR="006D751A" w:rsidRPr="004954C5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126065D4" w14:textId="655BB011" w:rsidR="004735E1" w:rsidRPr="004954C5" w:rsidRDefault="005250F5" w:rsidP="005250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954C5">
        <w:rPr>
          <w:rFonts w:eastAsia="Calibri"/>
          <w:sz w:val="24"/>
          <w:szCs w:val="24"/>
        </w:rPr>
        <w:t>Na temelju članka 17. i članka 19. stavaka 1. i 4., a u vezi s člankom 86. stavkom 1. Zakona o službenicima i namještenicima u lokalnoj i područnoj (regionalnoj) samoupravi ("Narodne novine" broj 86/08, 61/11, 4/18, 96/18 i 112/19),</w:t>
      </w:r>
      <w:r w:rsidR="009E6C72" w:rsidRPr="004954C5">
        <w:rPr>
          <w:rFonts w:eastAsia="Calibri"/>
          <w:sz w:val="24"/>
          <w:szCs w:val="24"/>
        </w:rPr>
        <w:t xml:space="preserve"> </w:t>
      </w:r>
      <w:r w:rsidR="006D751A" w:rsidRPr="004954C5">
        <w:rPr>
          <w:rFonts w:eastAsia="Calibri"/>
          <w:sz w:val="24"/>
          <w:szCs w:val="24"/>
        </w:rPr>
        <w:t>pročelnica Jedinstvenog upravnog odjela raspisala je</w:t>
      </w:r>
      <w:r w:rsidRPr="004954C5">
        <w:rPr>
          <w:rFonts w:eastAsia="Calibri"/>
          <w:sz w:val="24"/>
          <w:szCs w:val="24"/>
        </w:rPr>
        <w:t xml:space="preserve"> javni natječaj</w:t>
      </w:r>
      <w:r w:rsidR="00223CBF" w:rsidRPr="004954C5">
        <w:rPr>
          <w:rFonts w:eastAsia="Calibri"/>
          <w:sz w:val="24"/>
          <w:szCs w:val="24"/>
        </w:rPr>
        <w:t xml:space="preserve"> </w:t>
      </w:r>
      <w:r w:rsidR="006D751A" w:rsidRPr="004954C5">
        <w:rPr>
          <w:rFonts w:eastAsia="Calibri"/>
          <w:sz w:val="24"/>
          <w:szCs w:val="24"/>
        </w:rPr>
        <w:t xml:space="preserve">za prijam u službu </w:t>
      </w:r>
      <w:r w:rsidRPr="004954C5">
        <w:rPr>
          <w:b/>
          <w:bCs/>
          <w:sz w:val="24"/>
          <w:szCs w:val="24"/>
        </w:rPr>
        <w:t xml:space="preserve">vježbenika na određeno vrijeme od 12 mjeseci koji će se osposobljavati za službu i obavljati vježbeničku praksu (vježbenički staž) u Jedinstvenom upravnom odjelu Općine Vidovec, na poslovima radnog mjesta: </w:t>
      </w:r>
      <w:bookmarkStart w:id="1" w:name="_Hlk157074532"/>
      <w:r w:rsidRPr="004954C5">
        <w:rPr>
          <w:b/>
          <w:bCs/>
          <w:sz w:val="24"/>
          <w:szCs w:val="24"/>
        </w:rPr>
        <w:t>VIŠI STRUČNI SURADNIK ZA OPĆE POSLOVE I EU FONDOVE</w:t>
      </w:r>
    </w:p>
    <w:bookmarkEnd w:id="1"/>
    <w:p w14:paraId="5023B8B3" w14:textId="77777777" w:rsidR="005250F5" w:rsidRPr="0001065B" w:rsidRDefault="005250F5" w:rsidP="005250F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72F399B" w14:textId="77777777" w:rsidR="006D751A" w:rsidRPr="0001065B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1065B">
        <w:rPr>
          <w:rFonts w:eastAsia="Calibri"/>
          <w:b/>
          <w:bCs/>
          <w:sz w:val="24"/>
          <w:szCs w:val="24"/>
        </w:rPr>
        <w:t>UPUTE I OBAVIJESTI KANDIDATIMA/</w:t>
      </w:r>
      <w:r w:rsidR="006D751A" w:rsidRPr="0001065B">
        <w:rPr>
          <w:rFonts w:eastAsia="Calibri"/>
          <w:b/>
          <w:bCs/>
          <w:sz w:val="24"/>
          <w:szCs w:val="24"/>
        </w:rPr>
        <w:t xml:space="preserve">KINJAMA </w:t>
      </w:r>
      <w:r w:rsidR="006D751A" w:rsidRPr="0001065B">
        <w:rPr>
          <w:rFonts w:eastAsia="Calibri"/>
          <w:sz w:val="24"/>
          <w:szCs w:val="24"/>
        </w:rPr>
        <w:t>(u daljnjem tekstu: kandidat u odgovarajućem padežu)</w:t>
      </w:r>
    </w:p>
    <w:p w14:paraId="09C19CA5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60413247" w14:textId="77777777" w:rsidR="005250F5" w:rsidRPr="005250F5" w:rsidRDefault="005250F5" w:rsidP="005250F5">
      <w:pPr>
        <w:rPr>
          <w:b/>
          <w:bCs/>
          <w:sz w:val="24"/>
          <w:szCs w:val="24"/>
        </w:rPr>
      </w:pPr>
      <w:r w:rsidRPr="005250F5">
        <w:rPr>
          <w:b/>
          <w:bCs/>
          <w:sz w:val="24"/>
          <w:szCs w:val="24"/>
        </w:rPr>
        <w:t xml:space="preserve">Osnovni podaci o radnom mjestu: </w:t>
      </w:r>
    </w:p>
    <w:p w14:paraId="4032C647" w14:textId="77777777" w:rsidR="005250F5" w:rsidRPr="00730B09" w:rsidRDefault="005250F5" w:rsidP="005250F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250F5" w:rsidRPr="005250F5" w14:paraId="26E106DE" w14:textId="77777777" w:rsidTr="005250F5">
        <w:tc>
          <w:tcPr>
            <w:tcW w:w="9180" w:type="dxa"/>
            <w:shd w:val="clear" w:color="auto" w:fill="auto"/>
          </w:tcPr>
          <w:p w14:paraId="31C41A89" w14:textId="77777777" w:rsidR="005250F5" w:rsidRPr="005250F5" w:rsidRDefault="005250F5" w:rsidP="00B712A9">
            <w:pPr>
              <w:jc w:val="center"/>
              <w:rPr>
                <w:b/>
                <w:sz w:val="24"/>
                <w:szCs w:val="24"/>
              </w:rPr>
            </w:pPr>
            <w:r w:rsidRPr="005250F5">
              <w:rPr>
                <w:b/>
                <w:sz w:val="24"/>
                <w:szCs w:val="24"/>
              </w:rPr>
              <w:t>Poslovi radnog mjesta</w:t>
            </w:r>
          </w:p>
        </w:tc>
      </w:tr>
      <w:tr w:rsidR="005250F5" w:rsidRPr="005250F5" w14:paraId="19A46D70" w14:textId="77777777" w:rsidTr="005250F5">
        <w:tc>
          <w:tcPr>
            <w:tcW w:w="9180" w:type="dxa"/>
            <w:shd w:val="clear" w:color="auto" w:fill="auto"/>
          </w:tcPr>
          <w:p w14:paraId="21D144D9" w14:textId="77777777" w:rsidR="005250F5" w:rsidRPr="005250F5" w:rsidRDefault="005250F5" w:rsidP="00B712A9">
            <w:pPr>
              <w:jc w:val="both"/>
              <w:rPr>
                <w:rFonts w:eastAsia="Calibri"/>
                <w:sz w:val="24"/>
                <w:szCs w:val="24"/>
              </w:rPr>
            </w:pPr>
            <w:r w:rsidRPr="005250F5">
              <w:rPr>
                <w:rFonts w:eastAsia="Calibri"/>
                <w:sz w:val="24"/>
                <w:szCs w:val="24"/>
              </w:rPr>
              <w:t xml:space="preserve">Prati natječaje koji se odnose na mogućnost apliciranja za dobivanje sredstava iz pretpristupnih i strukturnih fondova iz EU; sa drugim subjektima priprema projekte za participaciju u raspisanim natječajima; vodi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stru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>č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ne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poslove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vezane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za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pretpristupne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programe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EU</w:t>
            </w:r>
            <w:r w:rsidRPr="005250F5">
              <w:rPr>
                <w:rFonts w:eastAsia="Calibri"/>
                <w:sz w:val="24"/>
                <w:szCs w:val="24"/>
              </w:rPr>
              <w:t xml:space="preserve">;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vr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>š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suradnju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tijelima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dr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>ž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avne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uprave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tijelima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Europske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komisije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drugim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me</w:t>
            </w:r>
            <w:r w:rsidRPr="005250F5">
              <w:rPr>
                <w:rFonts w:eastAsia="Calibri"/>
                <w:sz w:val="24"/>
                <w:szCs w:val="24"/>
              </w:rPr>
              <w:t>đ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unarodnim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nacionalnim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tijelima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vezano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uz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pitanja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pretpristupne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pomo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>ć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EU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te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uz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pitanja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regionalnog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razvoja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me</w:t>
            </w:r>
            <w:r w:rsidRPr="005250F5">
              <w:rPr>
                <w:rFonts w:eastAsia="Calibri"/>
                <w:sz w:val="24"/>
                <w:szCs w:val="24"/>
              </w:rPr>
              <w:t>đ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unarodne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suradnje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;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za</w:t>
            </w:r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50F5">
              <w:rPr>
                <w:rFonts w:eastAsia="Calibri"/>
                <w:sz w:val="24"/>
                <w:szCs w:val="24"/>
                <w:lang w:val="en-US"/>
              </w:rPr>
              <w:t>potrebe</w:t>
            </w:r>
            <w:proofErr w:type="spellEnd"/>
            <w:r w:rsidRPr="005250F5">
              <w:rPr>
                <w:rFonts w:eastAsia="Calibri"/>
                <w:sz w:val="24"/>
                <w:szCs w:val="24"/>
              </w:rPr>
              <w:t xml:space="preserve"> </w:t>
            </w:r>
            <w:r w:rsidRPr="005250F5">
              <w:rPr>
                <w:rFonts w:eastAsia="Calibri"/>
                <w:sz w:val="24"/>
                <w:szCs w:val="24"/>
                <w:lang w:val="en-US"/>
              </w:rPr>
              <w:t>Općine Vidovec</w:t>
            </w:r>
            <w:r w:rsidRPr="005250F5">
              <w:rPr>
                <w:rFonts w:eastAsia="Calibri"/>
                <w:sz w:val="24"/>
                <w:szCs w:val="24"/>
              </w:rPr>
              <w:t xml:space="preserve"> izrađuje dokumentaciju potrebnu za izradu projekta; prati razvoj projekta od početka do kraja</w:t>
            </w:r>
          </w:p>
        </w:tc>
      </w:tr>
      <w:tr w:rsidR="005250F5" w:rsidRPr="005250F5" w14:paraId="47A83ACB" w14:textId="77777777" w:rsidTr="005250F5">
        <w:tc>
          <w:tcPr>
            <w:tcW w:w="9180" w:type="dxa"/>
            <w:shd w:val="clear" w:color="auto" w:fill="auto"/>
          </w:tcPr>
          <w:p w14:paraId="54071C0E" w14:textId="77777777" w:rsidR="005250F5" w:rsidRPr="005250F5" w:rsidRDefault="005250F5" w:rsidP="00B712A9">
            <w:pPr>
              <w:jc w:val="both"/>
              <w:rPr>
                <w:sz w:val="24"/>
                <w:szCs w:val="24"/>
              </w:rPr>
            </w:pPr>
            <w:r w:rsidRPr="005250F5">
              <w:rPr>
                <w:sz w:val="24"/>
                <w:szCs w:val="24"/>
              </w:rPr>
              <w:t>Obavlja poslove odnosa s javnošću, ako oni nisu izričito dani drugom tijelu ili osobi, a u sklopu toga vrši redovito izvješćivanje medija o odlukama općinskog načelnika i radu Općine Vidovec sukladno naputcima općinskog načelnika</w:t>
            </w:r>
          </w:p>
        </w:tc>
      </w:tr>
      <w:tr w:rsidR="005250F5" w:rsidRPr="005250F5" w14:paraId="6CC17047" w14:textId="77777777" w:rsidTr="005250F5">
        <w:tc>
          <w:tcPr>
            <w:tcW w:w="9180" w:type="dxa"/>
            <w:shd w:val="clear" w:color="auto" w:fill="auto"/>
          </w:tcPr>
          <w:p w14:paraId="1BE44814" w14:textId="77777777" w:rsidR="005250F5" w:rsidRPr="005250F5" w:rsidRDefault="005250F5" w:rsidP="00B712A9">
            <w:pPr>
              <w:jc w:val="both"/>
              <w:rPr>
                <w:sz w:val="24"/>
                <w:szCs w:val="24"/>
              </w:rPr>
            </w:pPr>
            <w:r w:rsidRPr="005250F5">
              <w:rPr>
                <w:sz w:val="24"/>
                <w:szCs w:val="24"/>
              </w:rPr>
              <w:t>Brine se o ažuriranju sadržaja na službenoj mrežnoj stranici Općine Vidovec i brine o kvaliteti i o točnosti objavljenih informacija</w:t>
            </w:r>
          </w:p>
        </w:tc>
      </w:tr>
      <w:tr w:rsidR="005250F5" w:rsidRPr="005250F5" w14:paraId="7359F91B" w14:textId="77777777" w:rsidTr="005250F5">
        <w:tc>
          <w:tcPr>
            <w:tcW w:w="9180" w:type="dxa"/>
            <w:shd w:val="clear" w:color="auto" w:fill="auto"/>
          </w:tcPr>
          <w:p w14:paraId="53FD478E" w14:textId="77777777" w:rsidR="005250F5" w:rsidRPr="005250F5" w:rsidRDefault="005250F5" w:rsidP="00B712A9">
            <w:pPr>
              <w:jc w:val="both"/>
              <w:rPr>
                <w:sz w:val="24"/>
                <w:szCs w:val="24"/>
              </w:rPr>
            </w:pPr>
            <w:r w:rsidRPr="005250F5">
              <w:rPr>
                <w:sz w:val="24"/>
                <w:szCs w:val="24"/>
              </w:rPr>
              <w:t>Sudjeluje u izradi programa obilježavanja dana Općine, te općinskih manifestacija kao i programa međunarodne suradnje i suradnje s prijateljskim gradovima i općinama</w:t>
            </w:r>
          </w:p>
        </w:tc>
      </w:tr>
      <w:tr w:rsidR="005250F5" w:rsidRPr="005250F5" w14:paraId="133850DA" w14:textId="77777777" w:rsidTr="005250F5">
        <w:tc>
          <w:tcPr>
            <w:tcW w:w="9180" w:type="dxa"/>
            <w:shd w:val="clear" w:color="auto" w:fill="auto"/>
          </w:tcPr>
          <w:p w14:paraId="5DB67FD0" w14:textId="77777777" w:rsidR="005250F5" w:rsidRPr="005250F5" w:rsidRDefault="005250F5" w:rsidP="00B712A9">
            <w:pPr>
              <w:jc w:val="both"/>
              <w:rPr>
                <w:sz w:val="24"/>
                <w:szCs w:val="24"/>
              </w:rPr>
            </w:pPr>
            <w:r w:rsidRPr="005250F5">
              <w:rPr>
                <w:sz w:val="24"/>
                <w:szCs w:val="24"/>
              </w:rPr>
              <w:t>Obavlja poslove službenog protokola, organizacije posjeta, dočeka, prihvata i boravaka gostiju prilikom službenih posjeta, svečanih i službenih manifestacija</w:t>
            </w:r>
          </w:p>
        </w:tc>
      </w:tr>
      <w:tr w:rsidR="005250F5" w:rsidRPr="005250F5" w14:paraId="195641A7" w14:textId="77777777" w:rsidTr="005250F5">
        <w:tc>
          <w:tcPr>
            <w:tcW w:w="9180" w:type="dxa"/>
            <w:shd w:val="clear" w:color="auto" w:fill="auto"/>
          </w:tcPr>
          <w:p w14:paraId="72827F4D" w14:textId="77777777" w:rsidR="005250F5" w:rsidRPr="005250F5" w:rsidRDefault="005250F5" w:rsidP="00B712A9">
            <w:pPr>
              <w:jc w:val="both"/>
              <w:rPr>
                <w:sz w:val="24"/>
                <w:szCs w:val="24"/>
              </w:rPr>
            </w:pPr>
            <w:r w:rsidRPr="005250F5">
              <w:rPr>
                <w:sz w:val="24"/>
                <w:szCs w:val="24"/>
              </w:rPr>
              <w:t>Redovito surađuje s nadležnim županijskim uredima i ministarstvima kao i registriranim udrugama građana;</w:t>
            </w:r>
          </w:p>
        </w:tc>
      </w:tr>
      <w:tr w:rsidR="005250F5" w:rsidRPr="005250F5" w14:paraId="56F8BF78" w14:textId="77777777" w:rsidTr="005250F5">
        <w:tc>
          <w:tcPr>
            <w:tcW w:w="9180" w:type="dxa"/>
            <w:shd w:val="clear" w:color="auto" w:fill="auto"/>
          </w:tcPr>
          <w:p w14:paraId="1D2151FA" w14:textId="77777777" w:rsidR="005250F5" w:rsidRPr="005250F5" w:rsidRDefault="005250F5" w:rsidP="00B712A9">
            <w:pPr>
              <w:rPr>
                <w:sz w:val="24"/>
                <w:szCs w:val="24"/>
              </w:rPr>
            </w:pPr>
            <w:r w:rsidRPr="005250F5">
              <w:rPr>
                <w:sz w:val="24"/>
                <w:szCs w:val="24"/>
              </w:rPr>
              <w:t xml:space="preserve">Obavlja i druge poslove iz djelokruga Jedinstvenog upravnog odjela po nalogu pročelnika Jedinstvenog upravnog odjela </w:t>
            </w:r>
          </w:p>
        </w:tc>
      </w:tr>
    </w:tbl>
    <w:p w14:paraId="5E46C325" w14:textId="77777777" w:rsidR="00C54A71" w:rsidRDefault="00C54A71" w:rsidP="00C54A71"/>
    <w:p w14:paraId="5BB9595A" w14:textId="77777777" w:rsidR="006D751A" w:rsidRPr="00C54A71" w:rsidRDefault="00FF4E74" w:rsidP="00C54A71">
      <w:r w:rsidRPr="00FF4E74">
        <w:rPr>
          <w:rFonts w:eastAsia="Calibri"/>
          <w:b/>
          <w:bCs/>
          <w:sz w:val="24"/>
          <w:szCs w:val="24"/>
        </w:rPr>
        <w:t>PODACI O PLAĆI</w:t>
      </w:r>
    </w:p>
    <w:p w14:paraId="70A5B5A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52AA8F20" w14:textId="1F10C4BF" w:rsidR="005250F5" w:rsidRDefault="005250F5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250F5">
        <w:rPr>
          <w:rFonts w:eastAsia="Calibri"/>
          <w:sz w:val="24"/>
          <w:szCs w:val="24"/>
        </w:rPr>
        <w:t xml:space="preserve">Za vrijeme trajanja vježbeničkog staža vježbenik ima pravo na 85% plaće radnog mjesta najniže složenosti njegove stručne spreme, odnosno 85% osnovne plaće radnog mjesta </w:t>
      </w:r>
      <w:r w:rsidR="00B9193C">
        <w:rPr>
          <w:rFonts w:ascii="pt-serif" w:hAnsi="pt-serif"/>
          <w:sz w:val="24"/>
          <w:szCs w:val="24"/>
        </w:rPr>
        <w:t>v</w:t>
      </w:r>
      <w:r w:rsidRPr="005250F5">
        <w:rPr>
          <w:rFonts w:ascii="pt-serif" w:hAnsi="pt-serif"/>
          <w:sz w:val="24"/>
          <w:szCs w:val="24"/>
        </w:rPr>
        <w:t>i</w:t>
      </w:r>
      <w:r w:rsidRPr="005250F5">
        <w:rPr>
          <w:rFonts w:ascii="pt-serif" w:hAnsi="pt-serif" w:hint="eastAsia"/>
          <w:sz w:val="24"/>
          <w:szCs w:val="24"/>
        </w:rPr>
        <w:t>š</w:t>
      </w:r>
      <w:r w:rsidRPr="005250F5">
        <w:rPr>
          <w:rFonts w:ascii="pt-serif" w:hAnsi="pt-serif"/>
          <w:sz w:val="24"/>
          <w:szCs w:val="24"/>
        </w:rPr>
        <w:t>i stru</w:t>
      </w:r>
      <w:r w:rsidRPr="005250F5">
        <w:rPr>
          <w:rFonts w:ascii="pt-serif" w:hAnsi="pt-serif" w:hint="eastAsia"/>
          <w:sz w:val="24"/>
          <w:szCs w:val="24"/>
        </w:rPr>
        <w:t>č</w:t>
      </w:r>
      <w:r w:rsidRPr="005250F5">
        <w:rPr>
          <w:rFonts w:ascii="pt-serif" w:hAnsi="pt-serif"/>
          <w:sz w:val="24"/>
          <w:szCs w:val="24"/>
        </w:rPr>
        <w:t>ni suradnik za op</w:t>
      </w:r>
      <w:r w:rsidRPr="005250F5">
        <w:rPr>
          <w:rFonts w:ascii="pt-serif" w:hAnsi="pt-serif" w:hint="eastAsia"/>
          <w:sz w:val="24"/>
          <w:szCs w:val="24"/>
        </w:rPr>
        <w:t>ć</w:t>
      </w:r>
      <w:r w:rsidRPr="005250F5">
        <w:rPr>
          <w:rFonts w:ascii="pt-serif" w:hAnsi="pt-serif"/>
          <w:sz w:val="24"/>
          <w:szCs w:val="24"/>
        </w:rPr>
        <w:t xml:space="preserve">e poslove i </w:t>
      </w:r>
      <w:r>
        <w:rPr>
          <w:rFonts w:ascii="pt-serif" w:hAnsi="pt-serif"/>
          <w:sz w:val="24"/>
          <w:szCs w:val="24"/>
        </w:rPr>
        <w:t>EU</w:t>
      </w:r>
      <w:r w:rsidRPr="005250F5">
        <w:rPr>
          <w:rFonts w:ascii="pt-serif" w:hAnsi="pt-serif"/>
          <w:sz w:val="24"/>
          <w:szCs w:val="24"/>
        </w:rPr>
        <w:t xml:space="preserve"> fondove</w:t>
      </w:r>
      <w:r w:rsidRPr="005250F5">
        <w:rPr>
          <w:rFonts w:eastAsia="Calibri"/>
          <w:sz w:val="24"/>
          <w:szCs w:val="24"/>
        </w:rPr>
        <w:t xml:space="preserve">, kojeg čini umnožak koeficijenta složenosti poslova </w:t>
      </w:r>
      <w:r w:rsidR="00B9193C">
        <w:rPr>
          <w:rFonts w:eastAsia="Calibri"/>
          <w:sz w:val="24"/>
          <w:szCs w:val="24"/>
        </w:rPr>
        <w:t xml:space="preserve">2,43 </w:t>
      </w:r>
      <w:r w:rsidR="00B9193C" w:rsidRPr="008B0E37">
        <w:rPr>
          <w:rFonts w:eastAsia="Calibri"/>
          <w:sz w:val="24"/>
          <w:szCs w:val="24"/>
        </w:rPr>
        <w:t>uz osno</w:t>
      </w:r>
      <w:r w:rsidR="00B9193C">
        <w:rPr>
          <w:rFonts w:eastAsia="Calibri"/>
          <w:sz w:val="24"/>
          <w:szCs w:val="24"/>
        </w:rPr>
        <w:t xml:space="preserve">vicu plaće u bruto iznosu od </w:t>
      </w:r>
      <w:r w:rsidR="00B9193C" w:rsidRPr="002130AE">
        <w:rPr>
          <w:rFonts w:eastAsia="Calibri"/>
          <w:sz w:val="24"/>
          <w:szCs w:val="24"/>
        </w:rPr>
        <w:t>706,00 EUR</w:t>
      </w:r>
      <w:r w:rsidR="00B9193C">
        <w:rPr>
          <w:rFonts w:eastAsia="Calibri"/>
          <w:sz w:val="24"/>
          <w:szCs w:val="24"/>
        </w:rPr>
        <w:t>.</w:t>
      </w:r>
    </w:p>
    <w:p w14:paraId="1482B365" w14:textId="77777777" w:rsidR="005250F5" w:rsidRDefault="005250F5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01F5BDA" w14:textId="74419F21" w:rsidR="006D751A" w:rsidRPr="005250F5" w:rsidRDefault="006D751A" w:rsidP="006D751A">
      <w:pPr>
        <w:autoSpaceDE w:val="0"/>
        <w:autoSpaceDN w:val="0"/>
        <w:adjustRightInd w:val="0"/>
        <w:jc w:val="both"/>
        <w:rPr>
          <w:rFonts w:ascii="pt-serif" w:hAnsi="pt-serif"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UPUTE ZA PRIPREMANJE KANDIDATA ZA TESTIRANJE</w:t>
      </w:r>
    </w:p>
    <w:p w14:paraId="4E13727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3BFC2C4F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43CB41B" w14:textId="77777777" w:rsidR="005202D3" w:rsidRDefault="005202D3" w:rsidP="005202D3">
      <w:pPr>
        <w:spacing w:line="276" w:lineRule="auto"/>
        <w:rPr>
          <w:b/>
          <w:bCs/>
          <w:sz w:val="24"/>
          <w:szCs w:val="24"/>
        </w:rPr>
      </w:pPr>
      <w:r w:rsidRPr="005202D3">
        <w:rPr>
          <w:b/>
          <w:bCs/>
          <w:sz w:val="24"/>
          <w:szCs w:val="24"/>
        </w:rPr>
        <w:t>PRAVNI I DRUGI IZVORI ZA PRIPREMANJE KANDIDATA ZA TESTIRANJE</w:t>
      </w:r>
    </w:p>
    <w:p w14:paraId="37D64EBE" w14:textId="77777777" w:rsidR="005202D3" w:rsidRPr="005202D3" w:rsidRDefault="005202D3" w:rsidP="005202D3">
      <w:pPr>
        <w:spacing w:line="276" w:lineRule="auto"/>
        <w:rPr>
          <w:sz w:val="24"/>
          <w:szCs w:val="24"/>
        </w:rPr>
      </w:pPr>
    </w:p>
    <w:p w14:paraId="3397AE2F" w14:textId="77777777" w:rsidR="005202D3" w:rsidRPr="005202D3" w:rsidRDefault="005202D3" w:rsidP="005202D3">
      <w:pPr>
        <w:spacing w:line="276" w:lineRule="auto"/>
        <w:ind w:left="708"/>
        <w:rPr>
          <w:b/>
          <w:sz w:val="24"/>
          <w:szCs w:val="24"/>
        </w:rPr>
      </w:pPr>
      <w:r w:rsidRPr="005202D3">
        <w:rPr>
          <w:b/>
          <w:sz w:val="24"/>
          <w:szCs w:val="24"/>
        </w:rPr>
        <w:t>Opći dio</w:t>
      </w:r>
    </w:p>
    <w:p w14:paraId="5D020EC6" w14:textId="77777777" w:rsidR="005202D3" w:rsidRDefault="005202D3" w:rsidP="00141444">
      <w:p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 xml:space="preserve">Pitanja kojima se testira poznavanje </w:t>
      </w:r>
      <w:r>
        <w:rPr>
          <w:sz w:val="24"/>
          <w:szCs w:val="24"/>
        </w:rPr>
        <w:t>osnova</w:t>
      </w:r>
      <w:r w:rsidRPr="005202D3">
        <w:rPr>
          <w:sz w:val="24"/>
          <w:szCs w:val="24"/>
        </w:rPr>
        <w:t xml:space="preserve"> djelokruga jedinica lokalne i područne (regionalne) samouprave i samoupravnog djelokruga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temelje se na slijedećim izvorima:</w:t>
      </w:r>
    </w:p>
    <w:p w14:paraId="32FDA9A2" w14:textId="77777777" w:rsid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14:paraId="48616E50" w14:textId="0E594952" w:rsidR="005202D3" w:rsidRDefault="005202D3" w:rsidP="0014144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>Zakon o lokalnoj i područnoj (regionalnoj) samoupravi (</w:t>
      </w:r>
      <w:r w:rsidR="00141444">
        <w:rPr>
          <w:sz w:val="24"/>
          <w:szCs w:val="24"/>
        </w:rPr>
        <w:t>„Narodne novine“</w:t>
      </w:r>
      <w:r w:rsidRPr="005202D3">
        <w:rPr>
          <w:sz w:val="24"/>
          <w:szCs w:val="24"/>
        </w:rPr>
        <w:t xml:space="preserve"> br. </w:t>
      </w:r>
      <w:r w:rsidR="00851A0B" w:rsidRPr="00851A0B">
        <w:rPr>
          <w:sz w:val="24"/>
          <w:szCs w:val="24"/>
        </w:rPr>
        <w:t>33/01, 60/01, 129/05, 109/07, 125/08, 36/09, 36/09, 150/11, 144/12, 19/13, 137/15, 123/17, 98/19, 144/20</w:t>
      </w:r>
      <w:r w:rsidRPr="005202D3">
        <w:rPr>
          <w:sz w:val="24"/>
          <w:szCs w:val="24"/>
        </w:rPr>
        <w:t>)</w:t>
      </w:r>
    </w:p>
    <w:p w14:paraId="467E9C7E" w14:textId="5FF4552F" w:rsidR="00017BAD" w:rsidRPr="00017BAD" w:rsidRDefault="00017BAD" w:rsidP="00017BAD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17BAD">
        <w:rPr>
          <w:sz w:val="24"/>
          <w:szCs w:val="24"/>
        </w:rPr>
        <w:t>Zakon o općem upravnom postupku („Narodne novine“ broj 47/09, 110/21)</w:t>
      </w:r>
    </w:p>
    <w:p w14:paraId="5CD1D152" w14:textId="075C175B" w:rsidR="005202D3" w:rsidRDefault="005202D3" w:rsidP="005202D3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 xml:space="preserve">Statut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(“Službeni </w:t>
      </w:r>
      <w:r>
        <w:rPr>
          <w:sz w:val="24"/>
          <w:szCs w:val="24"/>
        </w:rPr>
        <w:t xml:space="preserve">vjesnik Varaždinske županije“ broj </w:t>
      </w:r>
      <w:r w:rsidR="00141444">
        <w:rPr>
          <w:sz w:val="24"/>
          <w:szCs w:val="24"/>
        </w:rPr>
        <w:t>20/21</w:t>
      </w:r>
      <w:r w:rsidRPr="005202D3">
        <w:rPr>
          <w:sz w:val="24"/>
          <w:szCs w:val="24"/>
        </w:rPr>
        <w:t>)</w:t>
      </w:r>
    </w:p>
    <w:p w14:paraId="013BBAF2" w14:textId="77777777" w:rsidR="00896DE7" w:rsidRDefault="00896DE7" w:rsidP="00896DE7">
      <w:pPr>
        <w:spacing w:line="276" w:lineRule="auto"/>
        <w:rPr>
          <w:sz w:val="24"/>
          <w:szCs w:val="24"/>
        </w:rPr>
      </w:pPr>
    </w:p>
    <w:p w14:paraId="686860CB" w14:textId="77777777" w:rsidR="005202D3" w:rsidRPr="005202D3" w:rsidRDefault="005202D3" w:rsidP="005202D3">
      <w:pPr>
        <w:spacing w:line="276" w:lineRule="auto"/>
        <w:ind w:firstLine="360"/>
        <w:rPr>
          <w:sz w:val="24"/>
          <w:szCs w:val="24"/>
        </w:rPr>
      </w:pPr>
      <w:r w:rsidRPr="005202D3">
        <w:rPr>
          <w:b/>
          <w:bCs/>
          <w:sz w:val="24"/>
          <w:szCs w:val="24"/>
        </w:rPr>
        <w:t>Posebni dio</w:t>
      </w:r>
    </w:p>
    <w:p w14:paraId="07563014" w14:textId="77777777" w:rsidR="005202D3" w:rsidRDefault="005202D3" w:rsidP="00141444">
      <w:p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>Pitanja kojima se testira provjera poznavanja zakona i drugih propisa vezanih uz djelokrug organizacijske jedinice u koju se kandidat prima i poslova na koje se prima temelje se na slijedećim izvorima:</w:t>
      </w:r>
    </w:p>
    <w:p w14:paraId="107F2B10" w14:textId="77777777" w:rsidR="005202D3" w:rsidRP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14:paraId="221FD800" w14:textId="32773D27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Zakon o institucionalnom okviru za korištenje fondova Europske unije u Republici Hrvatskoj (</w:t>
      </w:r>
      <w:bookmarkStart w:id="2" w:name="_Hlk157076397"/>
      <w:r w:rsidR="0011167A">
        <w:rPr>
          <w:rFonts w:eastAsia="Calibri"/>
          <w:sz w:val="24"/>
          <w:szCs w:val="24"/>
          <w:lang w:eastAsia="en-US"/>
        </w:rPr>
        <w:t xml:space="preserve">„Narodne novine“ </w:t>
      </w:r>
      <w:r w:rsidRPr="00017BAD">
        <w:rPr>
          <w:rFonts w:eastAsia="Calibri"/>
          <w:sz w:val="24"/>
          <w:szCs w:val="24"/>
          <w:lang w:eastAsia="en-US"/>
        </w:rPr>
        <w:t xml:space="preserve"> </w:t>
      </w:r>
      <w:bookmarkEnd w:id="2"/>
      <w:r w:rsidRPr="00017BAD">
        <w:rPr>
          <w:rFonts w:eastAsia="Calibri"/>
          <w:sz w:val="24"/>
          <w:szCs w:val="24"/>
          <w:lang w:eastAsia="en-US"/>
        </w:rPr>
        <w:t>br.116/21 )</w:t>
      </w:r>
    </w:p>
    <w:p w14:paraId="48D7A132" w14:textId="3B9E05FB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Uredba o funkcijama, zadaćama i odgovornosti Koordinacijskog tijela u institucionalnom okviru za korištenje fondova Europske unije u Republici Hrvatskoj u financijskom razdoblju od 2021. do 2027. godine (</w:t>
      </w:r>
      <w:r w:rsidR="0011167A">
        <w:rPr>
          <w:rFonts w:eastAsia="Calibri"/>
          <w:sz w:val="24"/>
          <w:szCs w:val="24"/>
          <w:lang w:eastAsia="en-US"/>
        </w:rPr>
        <w:t xml:space="preserve">„Narodne novine“ </w:t>
      </w:r>
      <w:r w:rsidR="0011167A" w:rsidRPr="00017BAD">
        <w:rPr>
          <w:rFonts w:eastAsia="Calibri"/>
          <w:sz w:val="24"/>
          <w:szCs w:val="24"/>
          <w:lang w:eastAsia="en-US"/>
        </w:rPr>
        <w:t xml:space="preserve"> </w:t>
      </w:r>
      <w:r w:rsidRPr="00017BAD">
        <w:rPr>
          <w:rFonts w:eastAsia="Calibri"/>
          <w:sz w:val="24"/>
          <w:szCs w:val="24"/>
          <w:lang w:eastAsia="en-US"/>
        </w:rPr>
        <w:t xml:space="preserve"> br.96/2022)</w:t>
      </w:r>
    </w:p>
    <w:p w14:paraId="79F30A4A" w14:textId="07C52322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Uredba o tijelima u sustavu upravljanja i kontrole za provedbu programa iz područja konkurentnosti i kohezije za financijsko razdoblje 2021. – 2027. (</w:t>
      </w:r>
      <w:r w:rsidR="0011167A">
        <w:rPr>
          <w:rFonts w:eastAsia="Calibri"/>
          <w:sz w:val="24"/>
          <w:szCs w:val="24"/>
          <w:lang w:eastAsia="en-US"/>
        </w:rPr>
        <w:t xml:space="preserve">„Narodne novine“ </w:t>
      </w:r>
      <w:r w:rsidR="0011167A" w:rsidRPr="00017BAD">
        <w:rPr>
          <w:rFonts w:eastAsia="Calibri"/>
          <w:sz w:val="24"/>
          <w:szCs w:val="24"/>
          <w:lang w:eastAsia="en-US"/>
        </w:rPr>
        <w:t xml:space="preserve"> </w:t>
      </w:r>
      <w:r w:rsidRPr="00017BAD">
        <w:rPr>
          <w:rFonts w:eastAsia="Calibri"/>
          <w:sz w:val="24"/>
          <w:szCs w:val="24"/>
          <w:lang w:eastAsia="en-US"/>
        </w:rPr>
        <w:t>br.</w:t>
      </w:r>
      <w:r w:rsidR="0011167A">
        <w:rPr>
          <w:rFonts w:eastAsia="Calibri"/>
          <w:sz w:val="24"/>
          <w:szCs w:val="24"/>
          <w:lang w:eastAsia="en-US"/>
        </w:rPr>
        <w:t xml:space="preserve"> </w:t>
      </w:r>
      <w:r w:rsidRPr="00017BAD">
        <w:rPr>
          <w:rFonts w:eastAsia="Calibri"/>
          <w:sz w:val="24"/>
          <w:szCs w:val="24"/>
          <w:lang w:eastAsia="en-US"/>
        </w:rPr>
        <w:t>96/2022)</w:t>
      </w:r>
    </w:p>
    <w:p w14:paraId="28F3E3D0" w14:textId="3F0AD3EB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Uredba o tijelima u sustavu upravljanja i kontrole za provedbu programa iz područja teritorijalnih ulaganja i pravedne tranzicije za financijsko razdoblje 2021. – 2027. (</w:t>
      </w:r>
      <w:r w:rsidR="0011167A">
        <w:rPr>
          <w:rFonts w:eastAsia="Calibri"/>
          <w:sz w:val="24"/>
          <w:szCs w:val="24"/>
          <w:lang w:eastAsia="en-US"/>
        </w:rPr>
        <w:t xml:space="preserve">„Narodne novine“ </w:t>
      </w:r>
      <w:r w:rsidRPr="00017BAD">
        <w:rPr>
          <w:rFonts w:eastAsia="Calibri"/>
          <w:sz w:val="24"/>
          <w:szCs w:val="24"/>
          <w:lang w:eastAsia="en-US"/>
        </w:rPr>
        <w:t xml:space="preserve"> br.96/2022)</w:t>
      </w:r>
    </w:p>
    <w:p w14:paraId="1231F807" w14:textId="13839BDF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Odluka o sustavu upravljanja i praćenju provedbe aktivnosti u okviru Nacionalnog plana oporavka i otpornosti 2021. – 2026. (</w:t>
      </w:r>
      <w:r w:rsidR="0011167A">
        <w:rPr>
          <w:rFonts w:eastAsia="Calibri"/>
          <w:sz w:val="24"/>
          <w:szCs w:val="24"/>
          <w:lang w:eastAsia="en-US"/>
        </w:rPr>
        <w:t xml:space="preserve">„Narodne novine“ </w:t>
      </w:r>
      <w:r w:rsidRPr="00017BAD">
        <w:rPr>
          <w:rFonts w:eastAsia="Calibri"/>
          <w:sz w:val="24"/>
          <w:szCs w:val="24"/>
          <w:lang w:eastAsia="en-US"/>
        </w:rPr>
        <w:t xml:space="preserve"> br.78/21)</w:t>
      </w:r>
    </w:p>
    <w:p w14:paraId="32A01E4B" w14:textId="6AA98F42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Zakon o sustavu strateškog planiranja i upravljanja razvojem RH (</w:t>
      </w:r>
      <w:r w:rsidR="0011167A">
        <w:rPr>
          <w:rFonts w:eastAsia="Calibri"/>
          <w:sz w:val="24"/>
          <w:szCs w:val="24"/>
          <w:lang w:eastAsia="en-US"/>
        </w:rPr>
        <w:t xml:space="preserve">„Narodne novine“ </w:t>
      </w:r>
      <w:r w:rsidRPr="00017BAD">
        <w:rPr>
          <w:rFonts w:eastAsia="Calibri"/>
          <w:sz w:val="24"/>
          <w:szCs w:val="24"/>
          <w:lang w:eastAsia="en-US"/>
        </w:rPr>
        <w:t xml:space="preserve"> br. 123/17, 151/22)</w:t>
      </w:r>
    </w:p>
    <w:p w14:paraId="5EB8FF6C" w14:textId="4EC2E92A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Uredba o smjernicama za izradu akata strateškog planiranja od nacionalnog značaja i značaja za jedinice lokalne i područne (regionalne) samouprave (</w:t>
      </w:r>
      <w:r w:rsidR="0011167A">
        <w:rPr>
          <w:rFonts w:eastAsia="Calibri"/>
          <w:sz w:val="24"/>
          <w:szCs w:val="24"/>
          <w:lang w:eastAsia="en-US"/>
        </w:rPr>
        <w:t xml:space="preserve">„Narodne novine“ </w:t>
      </w:r>
      <w:r w:rsidR="0011167A" w:rsidRPr="00017BAD">
        <w:rPr>
          <w:rFonts w:eastAsia="Calibri"/>
          <w:sz w:val="24"/>
          <w:szCs w:val="24"/>
          <w:lang w:eastAsia="en-US"/>
        </w:rPr>
        <w:t xml:space="preserve"> </w:t>
      </w:r>
      <w:r w:rsidRPr="00017BAD">
        <w:rPr>
          <w:rFonts w:eastAsia="Calibri"/>
          <w:sz w:val="24"/>
          <w:szCs w:val="24"/>
          <w:lang w:eastAsia="en-US"/>
        </w:rPr>
        <w:t xml:space="preserve"> 37/2023 )</w:t>
      </w:r>
    </w:p>
    <w:p w14:paraId="784CE862" w14:textId="5E71AD2F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Zakon o regionalnom razvoju Republike Hrvatske (</w:t>
      </w:r>
      <w:r w:rsidR="0011167A">
        <w:rPr>
          <w:rFonts w:eastAsia="Calibri"/>
          <w:sz w:val="24"/>
          <w:szCs w:val="24"/>
          <w:lang w:eastAsia="en-US"/>
        </w:rPr>
        <w:t>„Narodne novine“</w:t>
      </w:r>
      <w:r w:rsidRPr="00017BAD">
        <w:rPr>
          <w:rFonts w:eastAsia="Calibri"/>
          <w:sz w:val="24"/>
          <w:szCs w:val="24"/>
          <w:lang w:eastAsia="en-US"/>
        </w:rPr>
        <w:t xml:space="preserve"> br.147/14., 123/17. i 118/18.).</w:t>
      </w:r>
    </w:p>
    <w:p w14:paraId="60F30D35" w14:textId="4B0AAA6A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Odluka o razvrstavanju jedinica lokalne i područne (regionalne) samouprave prema stupnju razvijenosti (</w:t>
      </w:r>
      <w:r w:rsidR="004954C5">
        <w:rPr>
          <w:rFonts w:eastAsia="Calibri"/>
          <w:sz w:val="24"/>
          <w:szCs w:val="24"/>
          <w:lang w:eastAsia="en-US"/>
        </w:rPr>
        <w:t xml:space="preserve">„Narodne novine“ </w:t>
      </w:r>
      <w:r w:rsidRPr="00017BAD">
        <w:rPr>
          <w:rFonts w:eastAsia="Calibri"/>
          <w:sz w:val="24"/>
          <w:szCs w:val="24"/>
          <w:lang w:eastAsia="en-US"/>
        </w:rPr>
        <w:t xml:space="preserve"> br.132/17)</w:t>
      </w:r>
    </w:p>
    <w:p w14:paraId="4AC0F7CB" w14:textId="62F65282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Uredba o indeksu razvijenosti (</w:t>
      </w:r>
      <w:r w:rsidR="004954C5">
        <w:rPr>
          <w:rFonts w:eastAsia="Calibri"/>
          <w:sz w:val="24"/>
          <w:szCs w:val="24"/>
          <w:lang w:eastAsia="en-US"/>
        </w:rPr>
        <w:t xml:space="preserve">„Narodne novine“ </w:t>
      </w:r>
      <w:r w:rsidR="004954C5" w:rsidRPr="00017BAD">
        <w:rPr>
          <w:rFonts w:eastAsia="Calibri"/>
          <w:sz w:val="24"/>
          <w:szCs w:val="24"/>
          <w:lang w:eastAsia="en-US"/>
        </w:rPr>
        <w:t xml:space="preserve"> </w:t>
      </w:r>
      <w:r w:rsidRPr="00017BAD">
        <w:rPr>
          <w:rFonts w:eastAsia="Calibri"/>
          <w:sz w:val="24"/>
          <w:szCs w:val="24"/>
          <w:lang w:eastAsia="en-US"/>
        </w:rPr>
        <w:t xml:space="preserve"> br.131/2017)</w:t>
      </w:r>
    </w:p>
    <w:p w14:paraId="67EF1424" w14:textId="7F3E5F5F" w:rsidR="00017BAD" w:rsidRPr="00017BAD" w:rsidRDefault="00017BAD" w:rsidP="00017BAD">
      <w:pPr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17BAD">
        <w:rPr>
          <w:rFonts w:eastAsia="Calibri"/>
          <w:sz w:val="24"/>
          <w:szCs w:val="24"/>
          <w:lang w:eastAsia="en-US"/>
        </w:rPr>
        <w:t>Zakon o javnoj nabavi (</w:t>
      </w:r>
      <w:r w:rsidR="004954C5">
        <w:rPr>
          <w:rFonts w:eastAsia="Calibri"/>
          <w:sz w:val="24"/>
          <w:szCs w:val="24"/>
          <w:lang w:eastAsia="en-US"/>
        </w:rPr>
        <w:t>„Narodne novine“</w:t>
      </w:r>
      <w:r w:rsidRPr="00017BAD">
        <w:rPr>
          <w:rFonts w:eastAsia="Calibri"/>
          <w:sz w:val="24"/>
          <w:szCs w:val="24"/>
          <w:lang w:eastAsia="en-US"/>
        </w:rPr>
        <w:t xml:space="preserve"> br.120/2016, 114/2022) - pisana provjera odnosit će se samo na sljedeće članke: članak 12-15., 28., 85., 198., 200., 227-229., 306., 398., 400-405. i 434.</w:t>
      </w:r>
    </w:p>
    <w:p w14:paraId="189703EB" w14:textId="77777777" w:rsidR="006D751A" w:rsidRPr="00017BAD" w:rsidRDefault="006D751A" w:rsidP="006D751A">
      <w:pPr>
        <w:spacing w:line="276" w:lineRule="auto"/>
        <w:ind w:left="708"/>
        <w:rPr>
          <w:sz w:val="24"/>
          <w:szCs w:val="24"/>
        </w:rPr>
      </w:pPr>
    </w:p>
    <w:p w14:paraId="747E1FD1" w14:textId="49F79661" w:rsidR="006D751A" w:rsidRPr="00E84244" w:rsidRDefault="006D751A" w:rsidP="006D75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244">
        <w:rPr>
          <w:sz w:val="24"/>
          <w:szCs w:val="24"/>
        </w:rPr>
        <w:t>Prethodnoj provjeri znanja i sposobnosti kandidata mogu pristupiti samo kandidati ko</w:t>
      </w:r>
      <w:r w:rsidR="008B0E37">
        <w:rPr>
          <w:sz w:val="24"/>
          <w:szCs w:val="24"/>
        </w:rPr>
        <w:t xml:space="preserve">ji ispunjavaju formalne uvjete </w:t>
      </w:r>
      <w:r w:rsidR="00017BAD">
        <w:rPr>
          <w:sz w:val="24"/>
          <w:szCs w:val="24"/>
        </w:rPr>
        <w:t>javnog natječaja</w:t>
      </w:r>
      <w:r w:rsidRPr="00E84244">
        <w:rPr>
          <w:sz w:val="24"/>
          <w:szCs w:val="24"/>
        </w:rPr>
        <w:t>.</w:t>
      </w:r>
    </w:p>
    <w:p w14:paraId="25977FC7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400DA9AB" w14:textId="77777777"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14:paraId="6732DDAF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14:paraId="256F773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403E31E2" w14:textId="01D4C885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 xml:space="preserve">će se da je povukao prijavu na </w:t>
      </w:r>
      <w:r w:rsidR="0011167A">
        <w:rPr>
          <w:rFonts w:eastAsia="Calibri"/>
          <w:sz w:val="24"/>
          <w:szCs w:val="24"/>
        </w:rPr>
        <w:t>natječaj</w:t>
      </w:r>
      <w:r w:rsidRPr="00E84244">
        <w:rPr>
          <w:rFonts w:eastAsia="Calibri"/>
          <w:sz w:val="24"/>
          <w:szCs w:val="24"/>
        </w:rPr>
        <w:t>.</w:t>
      </w:r>
    </w:p>
    <w:p w14:paraId="2D0C72F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1A302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14:paraId="759A955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65FEBA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14:paraId="68DFE5E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834A9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14:paraId="77D0AEB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BCB56B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14:paraId="62CA287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14:paraId="007EEE0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14:paraId="207DDD4E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14:paraId="179FC89D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14:paraId="67DFF4C1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14:paraId="15BD7DC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18ED512" w14:textId="6772FFAD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11167A">
        <w:rPr>
          <w:rFonts w:eastAsia="Calibri"/>
          <w:sz w:val="24"/>
          <w:szCs w:val="24"/>
        </w:rPr>
        <w:t>natječaja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14:paraId="7F90D99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2F8960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14:paraId="45A1580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14:paraId="59BBB0C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14:paraId="1079BC2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932FECE" w14:textId="6824E625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11167A">
        <w:rPr>
          <w:rFonts w:eastAsia="Calibri"/>
          <w:sz w:val="24"/>
          <w:szCs w:val="24"/>
        </w:rPr>
        <w:t>natječaja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14:paraId="2465DCE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14:paraId="72D79ED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14:paraId="54F5AF0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4811AE" w14:textId="08DF6332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</w:t>
      </w:r>
      <w:r w:rsidR="0011167A">
        <w:rPr>
          <w:rFonts w:eastAsia="Calibri"/>
          <w:sz w:val="24"/>
          <w:szCs w:val="24"/>
        </w:rPr>
        <w:t>u natječaja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14:paraId="17DB29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DCABC4A" w14:textId="58493B0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Povjerenstvo za provedbu</w:t>
      </w:r>
      <w:r w:rsidR="0011167A">
        <w:rPr>
          <w:rFonts w:eastAsia="Calibri"/>
          <w:sz w:val="24"/>
          <w:szCs w:val="24"/>
        </w:rPr>
        <w:t xml:space="preserve"> natječaja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14:paraId="75A651A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89652CD" w14:textId="0F6A2185" w:rsidR="006D751A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11167A">
        <w:rPr>
          <w:rFonts w:eastAsia="Calibri"/>
          <w:sz w:val="24"/>
          <w:szCs w:val="24"/>
        </w:rPr>
        <w:t>natječaja</w:t>
      </w:r>
      <w:r w:rsidR="006D751A" w:rsidRPr="00E84244">
        <w:rPr>
          <w:rFonts w:eastAsia="Calibri"/>
          <w:sz w:val="24"/>
          <w:szCs w:val="24"/>
        </w:rPr>
        <w:t>.</w:t>
      </w:r>
    </w:p>
    <w:p w14:paraId="5FFBD62B" w14:textId="77777777" w:rsidR="0011167A" w:rsidRPr="00E84244" w:rsidRDefault="0011167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9F336B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14:paraId="52863BA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AB729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6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14:paraId="0657436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CC088C7" w14:textId="77777777"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14:paraId="614C0F07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E95ACE" w14:textId="3612BE5C"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 xml:space="preserve">Povjerenstvo za provedbu </w:t>
      </w:r>
      <w:r w:rsidR="0011167A">
        <w:rPr>
          <w:rFonts w:eastAsia="Calibri"/>
          <w:b/>
          <w:bCs/>
          <w:sz w:val="24"/>
          <w:szCs w:val="24"/>
        </w:rPr>
        <w:t>natječaja</w:t>
      </w:r>
    </w:p>
    <w:p w14:paraId="3C4D73D1" w14:textId="77777777"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0260F0BF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A28A9"/>
    <w:multiLevelType w:val="hybridMultilevel"/>
    <w:tmpl w:val="265868F8"/>
    <w:lvl w:ilvl="0" w:tplc="9CDAF93C">
      <w:start w:val="1"/>
      <w:numFmt w:val="decimal"/>
      <w:lvlText w:val="%1."/>
      <w:lvlJc w:val="left"/>
      <w:pPr>
        <w:ind w:left="450" w:hanging="360"/>
      </w:pPr>
    </w:lvl>
    <w:lvl w:ilvl="1" w:tplc="041A0019">
      <w:start w:val="1"/>
      <w:numFmt w:val="lowerLetter"/>
      <w:lvlText w:val="%2."/>
      <w:lvlJc w:val="left"/>
      <w:pPr>
        <w:ind w:left="1170" w:hanging="360"/>
      </w:pPr>
    </w:lvl>
    <w:lvl w:ilvl="2" w:tplc="041A001B">
      <w:start w:val="1"/>
      <w:numFmt w:val="lowerRoman"/>
      <w:lvlText w:val="%3."/>
      <w:lvlJc w:val="right"/>
      <w:pPr>
        <w:ind w:left="1890" w:hanging="180"/>
      </w:pPr>
    </w:lvl>
    <w:lvl w:ilvl="3" w:tplc="041A000F">
      <w:start w:val="1"/>
      <w:numFmt w:val="decimal"/>
      <w:lvlText w:val="%4."/>
      <w:lvlJc w:val="left"/>
      <w:pPr>
        <w:ind w:left="2610" w:hanging="360"/>
      </w:pPr>
    </w:lvl>
    <w:lvl w:ilvl="4" w:tplc="041A0019">
      <w:start w:val="1"/>
      <w:numFmt w:val="lowerLetter"/>
      <w:lvlText w:val="%5."/>
      <w:lvlJc w:val="left"/>
      <w:pPr>
        <w:ind w:left="3330" w:hanging="360"/>
      </w:pPr>
    </w:lvl>
    <w:lvl w:ilvl="5" w:tplc="041A001B">
      <w:start w:val="1"/>
      <w:numFmt w:val="lowerRoman"/>
      <w:lvlText w:val="%6."/>
      <w:lvlJc w:val="right"/>
      <w:pPr>
        <w:ind w:left="4050" w:hanging="180"/>
      </w:pPr>
    </w:lvl>
    <w:lvl w:ilvl="6" w:tplc="041A000F">
      <w:start w:val="1"/>
      <w:numFmt w:val="decimal"/>
      <w:lvlText w:val="%7."/>
      <w:lvlJc w:val="left"/>
      <w:pPr>
        <w:ind w:left="4770" w:hanging="360"/>
      </w:pPr>
    </w:lvl>
    <w:lvl w:ilvl="7" w:tplc="041A0019">
      <w:start w:val="1"/>
      <w:numFmt w:val="lowerLetter"/>
      <w:lvlText w:val="%8."/>
      <w:lvlJc w:val="left"/>
      <w:pPr>
        <w:ind w:left="5490" w:hanging="360"/>
      </w:pPr>
    </w:lvl>
    <w:lvl w:ilvl="8" w:tplc="041A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036E3"/>
    <w:multiLevelType w:val="hybridMultilevel"/>
    <w:tmpl w:val="C9B238CC"/>
    <w:lvl w:ilvl="0" w:tplc="14D6C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3897896">
    <w:abstractNumId w:val="0"/>
  </w:num>
  <w:num w:numId="2" w16cid:durableId="603732519">
    <w:abstractNumId w:val="2"/>
  </w:num>
  <w:num w:numId="3" w16cid:durableId="1361854925">
    <w:abstractNumId w:val="4"/>
  </w:num>
  <w:num w:numId="4" w16cid:durableId="968166428">
    <w:abstractNumId w:val="5"/>
  </w:num>
  <w:num w:numId="5" w16cid:durableId="1638413359">
    <w:abstractNumId w:val="1"/>
  </w:num>
  <w:num w:numId="6" w16cid:durableId="163590080">
    <w:abstractNumId w:val="6"/>
  </w:num>
  <w:num w:numId="7" w16cid:durableId="166947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1A"/>
    <w:rsid w:val="0001065B"/>
    <w:rsid w:val="00017BAD"/>
    <w:rsid w:val="0011167A"/>
    <w:rsid w:val="00141444"/>
    <w:rsid w:val="001A6ACA"/>
    <w:rsid w:val="00223CBF"/>
    <w:rsid w:val="00281458"/>
    <w:rsid w:val="0042154B"/>
    <w:rsid w:val="004735E1"/>
    <w:rsid w:val="004954C5"/>
    <w:rsid w:val="00510BD2"/>
    <w:rsid w:val="005202D3"/>
    <w:rsid w:val="005250F5"/>
    <w:rsid w:val="0059339F"/>
    <w:rsid w:val="006D751A"/>
    <w:rsid w:val="006F7831"/>
    <w:rsid w:val="00851A0B"/>
    <w:rsid w:val="00896DE7"/>
    <w:rsid w:val="008B0E37"/>
    <w:rsid w:val="009D3197"/>
    <w:rsid w:val="009E6C72"/>
    <w:rsid w:val="00A02557"/>
    <w:rsid w:val="00A0265F"/>
    <w:rsid w:val="00AD7E13"/>
    <w:rsid w:val="00B9193C"/>
    <w:rsid w:val="00BF581C"/>
    <w:rsid w:val="00C54A71"/>
    <w:rsid w:val="00CC5088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B1B9"/>
  <w15:docId w15:val="{6D8EC753-B576-4EFA-A7ED-E3EC16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7</cp:revision>
  <cp:lastPrinted>2019-03-12T07:55:00Z</cp:lastPrinted>
  <dcterms:created xsi:type="dcterms:W3CDTF">2019-03-12T08:01:00Z</dcterms:created>
  <dcterms:modified xsi:type="dcterms:W3CDTF">2024-01-29T09:52:00Z</dcterms:modified>
</cp:coreProperties>
</file>