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58" w:rsidRPr="008E43AB" w:rsidRDefault="00877358">
      <w:pPr>
        <w:pStyle w:val="Tijeloteksta"/>
        <w:spacing w:before="11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65564B">
      <w:pPr>
        <w:pStyle w:val="Tijeloteksta"/>
        <w:spacing w:before="93" w:line="259" w:lineRule="auto"/>
        <w:ind w:left="115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038B8" w:rsidRPr="008E43AB">
        <w:rPr>
          <w:rFonts w:ascii="Times New Roman" w:hAnsi="Times New Roman" w:cs="Times New Roman"/>
          <w:sz w:val="24"/>
          <w:szCs w:val="24"/>
        </w:rPr>
        <w:t>37. Zakona o proračunu  (</w:t>
      </w:r>
      <w:r w:rsidR="008E43AB" w:rsidRPr="008E43AB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9038B8" w:rsidRPr="008E43AB">
        <w:rPr>
          <w:rFonts w:ascii="Times New Roman" w:hAnsi="Times New Roman" w:cs="Times New Roman"/>
          <w:sz w:val="24"/>
          <w:szCs w:val="24"/>
        </w:rPr>
        <w:t>144/21)</w:t>
      </w:r>
      <w:r w:rsidR="00ED09AA" w:rsidRPr="008E43AB">
        <w:rPr>
          <w:rFonts w:ascii="Times New Roman" w:hAnsi="Times New Roman" w:cs="Times New Roman"/>
          <w:sz w:val="24"/>
          <w:szCs w:val="24"/>
        </w:rPr>
        <w:t>,</w:t>
      </w:r>
      <w:r w:rsidR="009038B8" w:rsidRPr="008E43AB">
        <w:rPr>
          <w:rFonts w:ascii="Times New Roman" w:hAnsi="Times New Roman" w:cs="Times New Roman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Uputa Ministarstva financija za izradu proračuna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jedinica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lokalne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područne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(regionalne)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samouprave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za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razdoblje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2018.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–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7949">
        <w:rPr>
          <w:rFonts w:ascii="Times New Roman" w:hAnsi="Times New Roman" w:cs="Times New Roman"/>
          <w:sz w:val="24"/>
          <w:szCs w:val="24"/>
        </w:rPr>
        <w:t xml:space="preserve">2025., </w:t>
      </w:r>
      <w:r w:rsidRPr="008E43AB">
        <w:rPr>
          <w:rFonts w:ascii="Times New Roman" w:hAnsi="Times New Roman" w:cs="Times New Roman"/>
          <w:sz w:val="24"/>
          <w:szCs w:val="24"/>
        </w:rPr>
        <w:t>(objava na stanicama Ministarstva financija RH) i</w:t>
      </w:r>
      <w:r w:rsidR="009038B8" w:rsidRPr="008E43AB">
        <w:rPr>
          <w:rFonts w:ascii="Times New Roman" w:hAnsi="Times New Roman" w:cs="Times New Roman"/>
          <w:sz w:val="24"/>
          <w:szCs w:val="24"/>
        </w:rPr>
        <w:t xml:space="preserve"> članka 31. Statuta Općine </w:t>
      </w:r>
      <w:r w:rsidR="00ED09AA" w:rsidRPr="008E43AB">
        <w:rPr>
          <w:rFonts w:ascii="Times New Roman" w:hAnsi="Times New Roman" w:cs="Times New Roman"/>
          <w:sz w:val="24"/>
          <w:szCs w:val="24"/>
        </w:rPr>
        <w:t xml:space="preserve">Vidovec („Službeni vjesnik Varaždinske županije“ broj: 20/21), Općinsko </w:t>
      </w:r>
      <w:r w:rsidR="00B97949">
        <w:rPr>
          <w:rFonts w:ascii="Times New Roman" w:hAnsi="Times New Roman" w:cs="Times New Roman"/>
          <w:sz w:val="24"/>
          <w:szCs w:val="24"/>
        </w:rPr>
        <w:t xml:space="preserve">vijeće </w:t>
      </w:r>
      <w:r w:rsidR="006756BA">
        <w:rPr>
          <w:rFonts w:ascii="Times New Roman" w:hAnsi="Times New Roman" w:cs="Times New Roman"/>
          <w:sz w:val="24"/>
          <w:szCs w:val="24"/>
        </w:rPr>
        <w:t xml:space="preserve">Općine Vidovec na svojoj </w:t>
      </w:r>
      <w:r w:rsidR="006756BA">
        <w:rPr>
          <w:rFonts w:ascii="Times New Roman" w:hAnsi="Times New Roman" w:cs="Times New Roman"/>
          <w:sz w:val="24"/>
          <w:szCs w:val="24"/>
        </w:rPr>
        <w:softHyphen/>
      </w:r>
      <w:r w:rsidR="006756BA">
        <w:rPr>
          <w:rFonts w:ascii="Times New Roman" w:hAnsi="Times New Roman" w:cs="Times New Roman"/>
          <w:sz w:val="24"/>
          <w:szCs w:val="24"/>
        </w:rPr>
        <w:softHyphen/>
      </w:r>
      <w:r w:rsidR="006756BA">
        <w:rPr>
          <w:rFonts w:ascii="Times New Roman" w:hAnsi="Times New Roman" w:cs="Times New Roman"/>
          <w:sz w:val="24"/>
          <w:szCs w:val="24"/>
        </w:rPr>
        <w:softHyphen/>
      </w:r>
      <w:r w:rsidR="006756BA">
        <w:rPr>
          <w:rFonts w:ascii="Times New Roman" w:hAnsi="Times New Roman" w:cs="Times New Roman"/>
          <w:sz w:val="24"/>
          <w:szCs w:val="24"/>
        </w:rPr>
        <w:softHyphen/>
        <w:t>27</w:t>
      </w:r>
      <w:r w:rsidRPr="008E43AB">
        <w:rPr>
          <w:rFonts w:ascii="Times New Roman" w:hAnsi="Times New Roman" w:cs="Times New Roman"/>
          <w:sz w:val="24"/>
          <w:szCs w:val="24"/>
        </w:rPr>
        <w:t>. sjednic</w:t>
      </w:r>
      <w:r w:rsidR="00732A3A" w:rsidRPr="008E43AB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6756BA">
        <w:rPr>
          <w:rFonts w:ascii="Times New Roman" w:hAnsi="Times New Roman" w:cs="Times New Roman"/>
          <w:sz w:val="24"/>
          <w:szCs w:val="24"/>
        </w:rPr>
        <w:t xml:space="preserve">04. lipnja </w:t>
      </w:r>
      <w:r w:rsidR="00B97949">
        <w:rPr>
          <w:rFonts w:ascii="Times New Roman" w:hAnsi="Times New Roman" w:cs="Times New Roman"/>
          <w:sz w:val="24"/>
          <w:szCs w:val="24"/>
        </w:rPr>
        <w:t xml:space="preserve"> 2024</w:t>
      </w:r>
      <w:r w:rsidRPr="008E43AB">
        <w:rPr>
          <w:rFonts w:ascii="Times New Roman" w:hAnsi="Times New Roman" w:cs="Times New Roman"/>
          <w:sz w:val="24"/>
          <w:szCs w:val="24"/>
        </w:rPr>
        <w:t>. godine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donosi</w:t>
      </w:r>
    </w:p>
    <w:p w:rsidR="00D206C9" w:rsidRPr="008E43AB" w:rsidRDefault="00D206C9">
      <w:pPr>
        <w:pStyle w:val="Naslov1"/>
        <w:spacing w:before="156" w:line="252" w:lineRule="exact"/>
        <w:ind w:left="1096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6756BA" w:rsidP="00D33C9B">
      <w:pPr>
        <w:pStyle w:val="Naslov1"/>
        <w:spacing w:before="156" w:line="252" w:lineRule="exact"/>
        <w:ind w:left="0"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</w:p>
    <w:p w:rsidR="00877358" w:rsidRPr="008E43AB" w:rsidRDefault="0065564B" w:rsidP="00D33C9B">
      <w:pPr>
        <w:spacing w:line="252" w:lineRule="exact"/>
        <w:ind w:right="-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sukcesivnom pokriću manjka iz prethodnog razdoblja</w:t>
      </w:r>
    </w:p>
    <w:p w:rsidR="00877358" w:rsidRPr="008E43AB" w:rsidRDefault="00ED09AA" w:rsidP="00D33C9B">
      <w:pPr>
        <w:spacing w:before="2"/>
        <w:ind w:right="-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proračunu Općine Vidovec</w:t>
      </w:r>
      <w:r w:rsidR="0065564B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7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razdoblju 2024</w:t>
      </w:r>
      <w:r w:rsidR="007742A3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97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2026</w:t>
      </w:r>
      <w:r w:rsidR="007742A3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:rsidR="00877358" w:rsidRPr="008E43AB" w:rsidRDefault="00877358">
      <w:pPr>
        <w:pStyle w:val="Tijeloteksta"/>
        <w:spacing w:before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7358" w:rsidRPr="008E43AB" w:rsidRDefault="0065564B">
      <w:pPr>
        <w:ind w:left="1095" w:right="109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:rsidR="00790ADA" w:rsidRPr="008E43AB" w:rsidRDefault="0065564B">
      <w:pPr>
        <w:pStyle w:val="Tijeloteksta"/>
        <w:spacing w:before="181" w:line="259" w:lineRule="auto"/>
        <w:ind w:left="115" w:right="113" w:firstLine="708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Ovom Odlukom utvrđuje se procjena rezultata poslovanja te način i dinamika pokrića procijenjenog m</w:t>
      </w:r>
      <w:r w:rsidR="00ED09A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anjka u proračunu Općine Vidovec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trogodišnjem razdoblju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B97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do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9794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Odluka</w:t>
      </w:r>
      <w:r w:rsidRPr="008E43AB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</w:t>
      </w:r>
      <w:r w:rsidRPr="008E43AB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donosi</w:t>
      </w:r>
      <w:r w:rsidRPr="008E43AB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 w:rsidRPr="008E43AB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 xml:space="preserve"> </w:t>
      </w:r>
      <w:r w:rsidR="00ED09A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Općinu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E43AB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</w:t>
      </w:r>
      <w:r w:rsidRPr="008E43AB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="00BC3D1C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proračunskog</w:t>
      </w:r>
      <w:r w:rsidRPr="008E43AB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korisnika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Dječjeg vrtića Škrinjica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8E43AB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samostalno</w:t>
      </w:r>
      <w:r w:rsidRPr="008E43A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procjenjuje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rezultate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43A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unosi</w:t>
      </w:r>
      <w:r w:rsidRPr="008E43A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svoje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financijske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planove.</w:t>
      </w:r>
      <w:r w:rsidRPr="008E43A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</w:p>
    <w:p w:rsidR="00877358" w:rsidRPr="008E43AB" w:rsidRDefault="0065564B">
      <w:pPr>
        <w:pStyle w:val="Tijeloteksta"/>
        <w:spacing w:before="181" w:line="259" w:lineRule="auto"/>
        <w:ind w:left="115" w:right="11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Rezultat</w:t>
      </w:r>
      <w:r w:rsidRPr="008E43A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8E43AB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naveden u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D33C9B"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P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roračunu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8E43A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razdoblje</w:t>
      </w:r>
      <w:r w:rsidRPr="008E43AB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od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979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43A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E43A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B97949">
        <w:rPr>
          <w:rFonts w:ascii="Times New Roman" w:hAnsi="Times New Roman" w:cs="Times New Roman"/>
          <w:color w:val="000000" w:themeColor="text1"/>
          <w:sz w:val="24"/>
          <w:szCs w:val="24"/>
        </w:rPr>
        <w:t>2026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43A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sastoji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rezultata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="00BC3D1C" w:rsidRPr="008E43AB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Općine</w:t>
      </w:r>
      <w:r w:rsidRPr="008E43A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43A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proračunskog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korisnika.</w:t>
      </w:r>
    </w:p>
    <w:p w:rsidR="00877358" w:rsidRPr="008E43AB" w:rsidRDefault="0065564B">
      <w:pPr>
        <w:pStyle w:val="Naslov1"/>
        <w:spacing w:before="1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877358" w:rsidRPr="008E43AB" w:rsidRDefault="0065564B" w:rsidP="00D33C9B">
      <w:pPr>
        <w:pStyle w:val="Tijeloteksta"/>
        <w:spacing w:before="181" w:line="259" w:lineRule="auto"/>
        <w:ind w:left="115" w:right="11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Procjena planiranog rezultata (proračunskog manjka) izvršena je temeljem godišnjih finan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cijskih izvještaja Općine Vidovec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(razina 22 – bez proračunskog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korisnika) za razdoblje</w:t>
      </w:r>
      <w:r w:rsidR="00B97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01.01.2023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– 3</w:t>
      </w:r>
      <w:r w:rsidR="00B97949">
        <w:rPr>
          <w:rFonts w:ascii="Times New Roman" w:hAnsi="Times New Roman" w:cs="Times New Roman"/>
          <w:color w:val="000000" w:themeColor="text1"/>
          <w:sz w:val="24"/>
          <w:szCs w:val="24"/>
        </w:rPr>
        <w:t>1.12.2023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u kojem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su utvrđena stanja na osnovnim računima podskupine 922 – višak / manjak u sljedećim</w:t>
      </w:r>
      <w:r w:rsidRPr="008E43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iznosima:</w:t>
      </w:r>
    </w:p>
    <w:p w:rsidR="00877358" w:rsidRPr="008E43AB" w:rsidRDefault="00B97949">
      <w:pPr>
        <w:pStyle w:val="Odlomakpopisa"/>
        <w:numPr>
          <w:ilvl w:val="2"/>
          <w:numId w:val="1"/>
        </w:numPr>
        <w:tabs>
          <w:tab w:val="left" w:pos="835"/>
          <w:tab w:val="left" w:pos="836"/>
        </w:tabs>
        <w:spacing w:before="164"/>
        <w:ind w:left="83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31.12.2023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godine utvrđe</w:t>
      </w:r>
      <w:r w:rsidR="00BC3D1C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je manjak u iznosu </w:t>
      </w:r>
      <w:r w:rsidRPr="00B97949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-345.377,94</w:t>
      </w:r>
      <w:r w:rsidR="00D33C9B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eura</w:t>
      </w:r>
      <w:r w:rsidR="00FE4C5D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77358" w:rsidRPr="008E43AB" w:rsidRDefault="00BB20E5">
      <w:pPr>
        <w:pStyle w:val="Naslov1"/>
        <w:spacing w:before="157"/>
        <w:ind w:left="10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B3A" w:rsidRPr="008E43AB" w:rsidRDefault="00D53B3A" w:rsidP="001B4D51">
      <w:pPr>
        <w:pStyle w:val="Naslov1"/>
        <w:spacing w:before="157"/>
        <w:ind w:left="109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358" w:rsidRPr="008E43AB" w:rsidRDefault="00BB20E5" w:rsidP="00821438">
      <w:pPr>
        <w:pStyle w:val="Tijeloteksta"/>
        <w:ind w:left="8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Pokriće  proračunskog manjka i</w:t>
      </w:r>
      <w:r w:rsidR="00821438">
        <w:rPr>
          <w:rFonts w:ascii="Times New Roman" w:hAnsi="Times New Roman" w:cs="Times New Roman"/>
          <w:color w:val="000000" w:themeColor="text1"/>
          <w:sz w:val="24"/>
          <w:szCs w:val="24"/>
        </w:rPr>
        <w:t>z članka 2. ove Odluke planirat ć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2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 Izmjenama i dopunama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2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roračuna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65564B" w:rsidRPr="001B4D51">
        <w:rPr>
          <w:rFonts w:ascii="Times New Roman" w:hAnsi="Times New Roman" w:cs="Times New Roman"/>
          <w:sz w:val="24"/>
          <w:szCs w:val="24"/>
        </w:rPr>
        <w:t>202</w:t>
      </w:r>
      <w:r w:rsidR="00893723">
        <w:rPr>
          <w:rFonts w:ascii="Times New Roman" w:hAnsi="Times New Roman" w:cs="Times New Roman"/>
          <w:sz w:val="24"/>
          <w:szCs w:val="24"/>
        </w:rPr>
        <w:t>4</w:t>
      </w:r>
      <w:r w:rsidR="0065564B" w:rsidRPr="001B4D51">
        <w:rPr>
          <w:rFonts w:ascii="Times New Roman" w:hAnsi="Times New Roman" w:cs="Times New Roman"/>
          <w:sz w:val="24"/>
          <w:szCs w:val="24"/>
        </w:rPr>
        <w:t>. i projekcijama za 202</w:t>
      </w:r>
      <w:r w:rsidR="00893723">
        <w:rPr>
          <w:rFonts w:ascii="Times New Roman" w:hAnsi="Times New Roman" w:cs="Times New Roman"/>
          <w:sz w:val="24"/>
          <w:szCs w:val="24"/>
        </w:rPr>
        <w:t>5</w:t>
      </w:r>
      <w:r w:rsidR="0065564B" w:rsidRPr="001B4D51">
        <w:rPr>
          <w:rFonts w:ascii="Times New Roman" w:hAnsi="Times New Roman" w:cs="Times New Roman"/>
          <w:sz w:val="24"/>
          <w:szCs w:val="24"/>
        </w:rPr>
        <w:t>. i 202</w:t>
      </w:r>
      <w:r w:rsidR="00893723">
        <w:rPr>
          <w:rFonts w:ascii="Times New Roman" w:hAnsi="Times New Roman" w:cs="Times New Roman"/>
          <w:sz w:val="24"/>
          <w:szCs w:val="24"/>
        </w:rPr>
        <w:t>6</w:t>
      </w:r>
      <w:r w:rsidR="0065564B" w:rsidRPr="001B4D51">
        <w:rPr>
          <w:rFonts w:ascii="Times New Roman" w:hAnsi="Times New Roman" w:cs="Times New Roman"/>
          <w:sz w:val="24"/>
          <w:szCs w:val="24"/>
        </w:rPr>
        <w:t>. sljedećom dinamikom:</w:t>
      </w:r>
    </w:p>
    <w:p w:rsidR="00877358" w:rsidRPr="008E43AB" w:rsidRDefault="00806260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1"/>
        <w:jc w:val="left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</w:t>
      </w:r>
      <w:r w:rsidR="00893723">
        <w:rPr>
          <w:rFonts w:ascii="Times New Roman" w:hAnsi="Times New Roman" w:cs="Times New Roman"/>
          <w:b/>
          <w:sz w:val="24"/>
          <w:szCs w:val="24"/>
        </w:rPr>
        <w:t>4</w:t>
      </w:r>
      <w:r w:rsidRPr="008E43AB">
        <w:rPr>
          <w:rFonts w:ascii="Times New Roman" w:hAnsi="Times New Roman" w:cs="Times New Roman"/>
          <w:b/>
          <w:sz w:val="24"/>
          <w:szCs w:val="24"/>
        </w:rPr>
        <w:t>. godina</w:t>
      </w:r>
      <w:r w:rsidR="000D70CD" w:rsidRPr="008E43A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B20E5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B40" w:rsidRPr="008E43AB">
        <w:rPr>
          <w:rFonts w:ascii="Times New Roman" w:hAnsi="Times New Roman" w:cs="Times New Roman"/>
          <w:b/>
          <w:sz w:val="24"/>
          <w:szCs w:val="24"/>
        </w:rPr>
        <w:t>-</w:t>
      </w:r>
      <w:r w:rsidR="00893723">
        <w:rPr>
          <w:rFonts w:ascii="Times New Roman" w:hAnsi="Times New Roman" w:cs="Times New Roman"/>
          <w:b/>
          <w:sz w:val="24"/>
          <w:szCs w:val="24"/>
        </w:rPr>
        <w:t>199.084,21 eura</w:t>
      </w:r>
    </w:p>
    <w:p w:rsidR="00C01128" w:rsidRPr="008E43AB" w:rsidRDefault="00893723" w:rsidP="003008AD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2025</w:t>
      </w:r>
      <w:r w:rsidR="000D70CD" w:rsidRPr="008E43AB">
        <w:rPr>
          <w:rFonts w:ascii="Times New Roman" w:hAnsi="Times New Roman" w:cs="Times New Roman"/>
          <w:b/>
          <w:sz w:val="24"/>
          <w:szCs w:val="24"/>
        </w:rPr>
        <w:t>. godina :</w:t>
      </w:r>
      <w:r w:rsidR="00806260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-100.000,00 eura</w:t>
      </w:r>
    </w:p>
    <w:p w:rsidR="00733B40" w:rsidRPr="008E43AB" w:rsidRDefault="00733B40" w:rsidP="003008AD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</w:t>
      </w:r>
      <w:r w:rsidR="00893723">
        <w:rPr>
          <w:rFonts w:ascii="Times New Roman" w:hAnsi="Times New Roman" w:cs="Times New Roman"/>
          <w:b/>
          <w:sz w:val="24"/>
          <w:szCs w:val="24"/>
        </w:rPr>
        <w:t xml:space="preserve">6. godina :  </w:t>
      </w:r>
      <w:r w:rsidRPr="008E43AB">
        <w:rPr>
          <w:rFonts w:ascii="Times New Roman" w:hAnsi="Times New Roman" w:cs="Times New Roman"/>
          <w:b/>
          <w:sz w:val="24"/>
          <w:szCs w:val="24"/>
        </w:rPr>
        <w:t>-</w:t>
      </w:r>
      <w:r w:rsidR="00D53B3A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723">
        <w:rPr>
          <w:rFonts w:ascii="Times New Roman" w:hAnsi="Times New Roman" w:cs="Times New Roman"/>
          <w:b/>
          <w:sz w:val="24"/>
          <w:szCs w:val="24"/>
        </w:rPr>
        <w:t>46.293,73 eura</w:t>
      </w:r>
    </w:p>
    <w:p w:rsidR="00877358" w:rsidRPr="008E43AB" w:rsidRDefault="00BB20E5">
      <w:pPr>
        <w:pStyle w:val="Naslov1"/>
        <w:spacing w:before="174"/>
        <w:ind w:left="1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4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D53B3A" w:rsidP="00D33C9B">
      <w:pPr>
        <w:pStyle w:val="Tijeloteksta"/>
        <w:spacing w:before="184" w:line="259" w:lineRule="auto"/>
        <w:ind w:left="116" w:right="11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 svrhu uravnoteženja P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roračuna, nakon uključivanja dijela procijenjenog proračunskog manjka, kao i nastavka pružanja javnih usluga zadovoljavajuće kvalitete, nastavit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narednom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razdoblju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poduzimanjem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svih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raspoloživih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mjera</w:t>
      </w:r>
      <w:r w:rsidR="0065564B" w:rsidRPr="008E43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pravodobno prikupljanje i ostvarenje proračunskih prihoda, uz maksimalno poštivanje načela ekonomičnosti i učinkovitosti prilikom trošenja proračunskih sredstava,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kako bi</w:t>
      </w:r>
      <w:r w:rsidR="0065564B"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ostvareni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raspoloživi prihodi bili dostatni za pokriće dijela prenesenog manjka utvrđenom dinamikom i realizaciju planiranih godišnjih rashoda i izdataka.</w:t>
      </w:r>
    </w:p>
    <w:p w:rsidR="00821438" w:rsidRDefault="00821438">
      <w:pPr>
        <w:pStyle w:val="Naslov1"/>
        <w:spacing w:before="1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438" w:rsidRDefault="00821438">
      <w:pPr>
        <w:pStyle w:val="Naslov1"/>
        <w:spacing w:before="1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358" w:rsidRPr="008E43AB" w:rsidRDefault="00BB20E5">
      <w:pPr>
        <w:pStyle w:val="Naslov1"/>
        <w:spacing w:before="1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Članak 5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65564B">
      <w:pPr>
        <w:pStyle w:val="Tijeloteksta"/>
        <w:spacing w:before="181" w:line="259" w:lineRule="auto"/>
        <w:ind w:left="115" w:right="11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Analiza i ocjena postojećeg financijskog stanja s prijedlogom mjera za otklanjanje uzroka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negativnog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mjera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stabilno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održivo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poslovanje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akcijski</w:t>
      </w:r>
      <w:r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provedbe navedenih mjera, sastavni su dio ove</w:t>
      </w:r>
      <w:r w:rsidRPr="008E43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Odluke.</w:t>
      </w:r>
    </w:p>
    <w:p w:rsidR="00877358" w:rsidRPr="008E43AB" w:rsidRDefault="00BB20E5">
      <w:pPr>
        <w:pStyle w:val="Naslov1"/>
        <w:spacing w:before="1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6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65564B">
      <w:pPr>
        <w:pStyle w:val="Tijeloteksta"/>
        <w:spacing w:before="179"/>
        <w:ind w:left="8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Odgovorna osoba za provedb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plana utvrđenih mjera je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općinski 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načelnik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BB20E5">
      <w:pPr>
        <w:pStyle w:val="Naslov1"/>
        <w:spacing w:before="182"/>
        <w:ind w:left="10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7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65564B">
      <w:pPr>
        <w:pStyle w:val="Tijeloteksta"/>
        <w:spacing w:before="181" w:line="256" w:lineRule="auto"/>
        <w:ind w:left="115" w:right="11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objavit</w:t>
      </w:r>
      <w:r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Službenom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vjesniku Varaždinske županije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stupa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snagu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osmog dana od dana objave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358" w:rsidRPr="008E43AB" w:rsidRDefault="00877358">
      <w:pPr>
        <w:pStyle w:val="Tijelotek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358" w:rsidRPr="008E43AB" w:rsidRDefault="00877358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3C9B" w:rsidRPr="00B82D57" w:rsidRDefault="00B82D57" w:rsidP="00D33C9B">
      <w:pPr>
        <w:pStyle w:val="Tijeloteksta"/>
        <w:spacing w:before="1" w:line="259" w:lineRule="auto"/>
        <w:ind w:left="116" w:right="96"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D57">
        <w:rPr>
          <w:rFonts w:ascii="Times New Roman" w:hAnsi="Times New Roman" w:cs="Times New Roman"/>
          <w:color w:val="000000" w:themeColor="text1"/>
          <w:sz w:val="24"/>
          <w:szCs w:val="24"/>
        </w:rPr>
        <w:t>KLASA: 400-01</w:t>
      </w:r>
      <w:r w:rsidR="00CF67CF" w:rsidRPr="00B82D57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Pr="00B82D57">
        <w:rPr>
          <w:rFonts w:ascii="Times New Roman" w:hAnsi="Times New Roman" w:cs="Times New Roman"/>
          <w:color w:val="000000" w:themeColor="text1"/>
          <w:sz w:val="24"/>
          <w:szCs w:val="24"/>
        </w:rPr>
        <w:t>4-01/02</w:t>
      </w:r>
    </w:p>
    <w:p w:rsidR="00877358" w:rsidRPr="00B82D57" w:rsidRDefault="00B82D57" w:rsidP="00D33C9B">
      <w:pPr>
        <w:pStyle w:val="Tijeloteksta"/>
        <w:spacing w:before="1" w:line="259" w:lineRule="auto"/>
        <w:ind w:left="116" w:right="96"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D57">
        <w:rPr>
          <w:rFonts w:ascii="Times New Roman" w:hAnsi="Times New Roman" w:cs="Times New Roman"/>
          <w:color w:val="000000" w:themeColor="text1"/>
          <w:sz w:val="24"/>
          <w:szCs w:val="24"/>
        </w:rPr>
        <w:t>URBROJ: 2186-10-01/1-24</w:t>
      </w:r>
      <w:r w:rsidR="00D33C9B" w:rsidRPr="00B82D57"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</w:p>
    <w:p w:rsidR="00D33C9B" w:rsidRPr="00B82D57" w:rsidRDefault="00D33C9B">
      <w:pPr>
        <w:pStyle w:val="Tijeloteks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77358" w:rsidRPr="008E43AB" w:rsidRDefault="00D33C9B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 xml:space="preserve">  </w:t>
      </w:r>
      <w:r w:rsidR="003C1F14" w:rsidRPr="008E43AB">
        <w:rPr>
          <w:rFonts w:ascii="Times New Roman" w:hAnsi="Times New Roman" w:cs="Times New Roman"/>
          <w:sz w:val="24"/>
          <w:szCs w:val="24"/>
        </w:rPr>
        <w:t>Vidovec,</w:t>
      </w:r>
      <w:r w:rsidR="00D27007" w:rsidRPr="00D27007">
        <w:rPr>
          <w:rFonts w:ascii="Times New Roman" w:hAnsi="Times New Roman" w:cs="Times New Roman"/>
          <w:sz w:val="24"/>
          <w:szCs w:val="24"/>
        </w:rPr>
        <w:t xml:space="preserve"> </w:t>
      </w:r>
      <w:r w:rsidR="006756BA">
        <w:rPr>
          <w:rFonts w:ascii="Times New Roman" w:hAnsi="Times New Roman" w:cs="Times New Roman"/>
          <w:sz w:val="24"/>
          <w:szCs w:val="24"/>
        </w:rPr>
        <w:t xml:space="preserve"> 04. l</w:t>
      </w:r>
      <w:bookmarkStart w:id="0" w:name="_GoBack"/>
      <w:bookmarkEnd w:id="0"/>
      <w:r w:rsidR="006756BA">
        <w:rPr>
          <w:rFonts w:ascii="Times New Roman" w:hAnsi="Times New Roman" w:cs="Times New Roman"/>
          <w:sz w:val="24"/>
          <w:szCs w:val="24"/>
        </w:rPr>
        <w:t xml:space="preserve">ipnja </w:t>
      </w:r>
      <w:r w:rsidR="00821438">
        <w:rPr>
          <w:rFonts w:ascii="Times New Roman" w:hAnsi="Times New Roman" w:cs="Times New Roman"/>
          <w:sz w:val="24"/>
          <w:szCs w:val="24"/>
        </w:rPr>
        <w:t>2024</w:t>
      </w:r>
      <w:r w:rsidR="00D27007" w:rsidRPr="008E43AB">
        <w:rPr>
          <w:rFonts w:ascii="Times New Roman" w:hAnsi="Times New Roman" w:cs="Times New Roman"/>
          <w:sz w:val="24"/>
          <w:szCs w:val="24"/>
        </w:rPr>
        <w:t>. godine</w:t>
      </w:r>
    </w:p>
    <w:p w:rsidR="00877358" w:rsidRPr="008E43AB" w:rsidRDefault="00877358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8E43AB" w:rsidRDefault="008E43AB">
      <w:pPr>
        <w:pStyle w:val="Naslov1"/>
        <w:ind w:left="4397" w:right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OPĆINSKO VIJEĆE OPĆINE VIDOVEC</w:t>
      </w:r>
    </w:p>
    <w:p w:rsidR="00877358" w:rsidRPr="008E43AB" w:rsidRDefault="008E43AB">
      <w:pPr>
        <w:pStyle w:val="Naslov1"/>
        <w:ind w:left="4397" w:right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</w:t>
      </w:r>
      <w:r w:rsidR="003C1F14" w:rsidRPr="008E43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PREDSJEDNIK </w:t>
      </w:r>
    </w:p>
    <w:p w:rsidR="00877358" w:rsidRPr="008E43AB" w:rsidRDefault="003C1F1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877358" w:rsidRPr="008E43AB">
          <w:footerReference w:type="default" r:id="rId7"/>
          <w:pgSz w:w="11910" w:h="16840"/>
          <w:pgMar w:top="1320" w:right="1300" w:bottom="1200" w:left="1300" w:header="0" w:footer="1002" w:gutter="0"/>
          <w:cols w:space="720"/>
        </w:sect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Krunoslav Bistrović</w:t>
      </w:r>
    </w:p>
    <w:p w:rsidR="00877358" w:rsidRPr="008E43AB" w:rsidRDefault="0065564B" w:rsidP="00092BA0">
      <w:pPr>
        <w:pStyle w:val="Naslov1"/>
        <w:tabs>
          <w:tab w:val="left" w:pos="8222"/>
        </w:tabs>
        <w:spacing w:before="93" w:line="259" w:lineRule="auto"/>
        <w:ind w:left="0" w:right="-46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lastRenderedPageBreak/>
        <w:t>Analiza i ocjena postojećeg fi</w:t>
      </w:r>
      <w:r w:rsidR="00B07B51" w:rsidRPr="008E43AB">
        <w:rPr>
          <w:rFonts w:ascii="Times New Roman" w:hAnsi="Times New Roman" w:cs="Times New Roman"/>
          <w:sz w:val="24"/>
          <w:szCs w:val="24"/>
        </w:rPr>
        <w:t xml:space="preserve">nancijskog stanja s prijedlogom </w:t>
      </w:r>
      <w:r w:rsidRPr="008E43AB">
        <w:rPr>
          <w:rFonts w:ascii="Times New Roman" w:hAnsi="Times New Roman" w:cs="Times New Roman"/>
          <w:sz w:val="24"/>
          <w:szCs w:val="24"/>
        </w:rPr>
        <w:t>mjera za otklanjanje uzroka negativnog poslovanja i mjera za stabilno održivo poslovanje te akcijski plan provedbe navedenih mjera</w:t>
      </w:r>
    </w:p>
    <w:p w:rsidR="00877358" w:rsidRPr="008E43AB" w:rsidRDefault="00877358">
      <w:pPr>
        <w:pStyle w:val="Tijeloteksta"/>
        <w:spacing w:before="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358" w:rsidRPr="008E43AB" w:rsidRDefault="0065564B">
      <w:pPr>
        <w:pStyle w:val="Tijeloteksta"/>
        <w:spacing w:before="1" w:line="259" w:lineRule="auto"/>
        <w:ind w:left="116"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 xml:space="preserve">U skladu s Uputama Ministarstva financija za izradu proračuna jedinica lokalne i područne (regionalne) samouprave za razdoblje 2018. – 2020. </w:t>
      </w:r>
      <w:r w:rsidR="00821438">
        <w:rPr>
          <w:rFonts w:ascii="Times New Roman" w:hAnsi="Times New Roman" w:cs="Times New Roman"/>
          <w:sz w:val="24"/>
          <w:szCs w:val="24"/>
        </w:rPr>
        <w:t>godine i razdoblje 2024. - 2026</w:t>
      </w:r>
      <w:r w:rsidR="008561CA"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z w:val="24"/>
          <w:szCs w:val="24"/>
        </w:rPr>
        <w:t>, čije se odredbe o sukcesivnom podmirenju proračunskog manjka pri</w:t>
      </w:r>
      <w:r w:rsidR="003C1F14" w:rsidRPr="008E43AB">
        <w:rPr>
          <w:rFonts w:ascii="Times New Roman" w:hAnsi="Times New Roman" w:cs="Times New Roman"/>
          <w:sz w:val="24"/>
          <w:szCs w:val="24"/>
        </w:rPr>
        <w:t>mjenjuju i nadalje, Općina Vidovec</w:t>
      </w:r>
      <w:r w:rsidRPr="008E43AB">
        <w:rPr>
          <w:rFonts w:ascii="Times New Roman" w:hAnsi="Times New Roman" w:cs="Times New Roman"/>
          <w:sz w:val="24"/>
          <w:szCs w:val="24"/>
        </w:rPr>
        <w:t xml:space="preserve"> je, temeljem financijskih izvještaja (razina 2</w:t>
      </w:r>
      <w:r w:rsidR="003C1F14" w:rsidRPr="008E43AB">
        <w:rPr>
          <w:rFonts w:ascii="Times New Roman" w:hAnsi="Times New Roman" w:cs="Times New Roman"/>
          <w:sz w:val="24"/>
          <w:szCs w:val="24"/>
        </w:rPr>
        <w:t>2 – bez proračunskih korisnika) utvrdila proračunski manjak, te izradila</w:t>
      </w:r>
      <w:r w:rsidRPr="008E43AB">
        <w:rPr>
          <w:rFonts w:ascii="Times New Roman" w:hAnsi="Times New Roman" w:cs="Times New Roman"/>
          <w:sz w:val="24"/>
          <w:szCs w:val="24"/>
        </w:rPr>
        <w:t xml:space="preserve"> plan dinamike njegovog pokrića. Sastavljen je prijedlog mjera za pokriće planiranog manjka i akcijski plan za njihovu provedbu.</w:t>
      </w:r>
    </w:p>
    <w:p w:rsidR="00877358" w:rsidRPr="008E43AB" w:rsidRDefault="00877358">
      <w:pPr>
        <w:pStyle w:val="Tijeloteksta"/>
        <w:spacing w:before="4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65564B">
      <w:pPr>
        <w:pStyle w:val="Naslov1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ANALIZA I OCJENA POSTOJEĆEG STANJA</w:t>
      </w:r>
    </w:p>
    <w:p w:rsidR="00877358" w:rsidRPr="008E43AB" w:rsidRDefault="0065564B" w:rsidP="00E95063">
      <w:pPr>
        <w:pStyle w:val="Tijeloteksta"/>
        <w:spacing w:before="181" w:line="259" w:lineRule="auto"/>
        <w:ind w:left="115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Prema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podacima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financijskih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izvještaja</w:t>
      </w:r>
      <w:r w:rsidRPr="008E43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561CA" w:rsidRPr="008E43AB">
        <w:rPr>
          <w:rFonts w:ascii="Times New Roman" w:hAnsi="Times New Roman" w:cs="Times New Roman"/>
          <w:sz w:val="24"/>
          <w:szCs w:val="24"/>
        </w:rPr>
        <w:t xml:space="preserve">Općine Vidovec </w:t>
      </w:r>
      <w:r w:rsidRPr="008E43AB">
        <w:rPr>
          <w:rFonts w:ascii="Times New Roman" w:hAnsi="Times New Roman" w:cs="Times New Roman"/>
          <w:sz w:val="24"/>
          <w:szCs w:val="24"/>
        </w:rPr>
        <w:t>proteklih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godina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vidljivo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je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C1F14" w:rsidRPr="008E43AB">
        <w:rPr>
          <w:rFonts w:ascii="Times New Roman" w:hAnsi="Times New Roman" w:cs="Times New Roman"/>
          <w:sz w:val="24"/>
          <w:szCs w:val="24"/>
        </w:rPr>
        <w:t>da je Općina zadnji puta ostvarila</w:t>
      </w:r>
      <w:r w:rsidRPr="008E43AB">
        <w:rPr>
          <w:rFonts w:ascii="Times New Roman" w:hAnsi="Times New Roman" w:cs="Times New Roman"/>
          <w:sz w:val="24"/>
          <w:szCs w:val="24"/>
        </w:rPr>
        <w:t xml:space="preserve"> poziti</w:t>
      </w:r>
      <w:r w:rsidR="008561CA" w:rsidRPr="008E43AB">
        <w:rPr>
          <w:rFonts w:ascii="Times New Roman" w:hAnsi="Times New Roman" w:cs="Times New Roman"/>
          <w:sz w:val="24"/>
          <w:szCs w:val="24"/>
        </w:rPr>
        <w:t>van rezultat poslovanja</w:t>
      </w:r>
      <w:r w:rsidR="003C1F14" w:rsidRPr="008E43AB">
        <w:rPr>
          <w:rFonts w:ascii="Times New Roman" w:hAnsi="Times New Roman" w:cs="Times New Roman"/>
          <w:sz w:val="24"/>
          <w:szCs w:val="24"/>
        </w:rPr>
        <w:t xml:space="preserve"> za razdoblje 01.01.-30.06.2019. godine (u iznosu </w:t>
      </w:r>
      <w:r w:rsidR="00854947" w:rsidRPr="008E43AB">
        <w:rPr>
          <w:rFonts w:ascii="Times New Roman" w:hAnsi="Times New Roman" w:cs="Times New Roman"/>
          <w:sz w:val="24"/>
          <w:szCs w:val="24"/>
        </w:rPr>
        <w:t>5.089,48</w:t>
      </w:r>
      <w:r w:rsidRPr="008E43AB">
        <w:rPr>
          <w:rFonts w:ascii="Times New Roman" w:hAnsi="Times New Roman" w:cs="Times New Roman"/>
          <w:sz w:val="24"/>
          <w:szCs w:val="24"/>
        </w:rPr>
        <w:t xml:space="preserve"> ku</w:t>
      </w:r>
      <w:r w:rsidR="00854947" w:rsidRPr="008E43AB">
        <w:rPr>
          <w:rFonts w:ascii="Times New Roman" w:hAnsi="Times New Roman" w:cs="Times New Roman"/>
          <w:sz w:val="24"/>
          <w:szCs w:val="24"/>
        </w:rPr>
        <w:t>na). Rezultat poslovanja za 01.01.-31.12.2019</w:t>
      </w:r>
      <w:r w:rsidRPr="008E43AB">
        <w:rPr>
          <w:rFonts w:ascii="Times New Roman" w:hAnsi="Times New Roman" w:cs="Times New Roman"/>
          <w:sz w:val="24"/>
          <w:szCs w:val="24"/>
        </w:rPr>
        <w:t>. godinu utvrđen j</w:t>
      </w:r>
      <w:r w:rsidR="00854947" w:rsidRPr="008E43AB">
        <w:rPr>
          <w:rFonts w:ascii="Times New Roman" w:hAnsi="Times New Roman" w:cs="Times New Roman"/>
          <w:sz w:val="24"/>
          <w:szCs w:val="24"/>
        </w:rPr>
        <w:t>e kao manjak u iznosu -404.307,86 kuna</w:t>
      </w:r>
      <w:r w:rsidRPr="008E43AB">
        <w:rPr>
          <w:rFonts w:ascii="Times New Roman" w:hAnsi="Times New Roman" w:cs="Times New Roman"/>
          <w:sz w:val="24"/>
          <w:szCs w:val="24"/>
        </w:rPr>
        <w:t xml:space="preserve">, </w:t>
      </w:r>
      <w:r w:rsidR="008561CA" w:rsidRPr="008E43AB">
        <w:rPr>
          <w:rFonts w:ascii="Times New Roman" w:hAnsi="Times New Roman" w:cs="Times New Roman"/>
          <w:sz w:val="24"/>
          <w:szCs w:val="24"/>
        </w:rPr>
        <w:t>a rezultati svih narednih godina</w:t>
      </w:r>
      <w:r w:rsidRPr="008E43AB">
        <w:rPr>
          <w:rFonts w:ascii="Times New Roman" w:hAnsi="Times New Roman" w:cs="Times New Roman"/>
          <w:sz w:val="24"/>
          <w:szCs w:val="24"/>
        </w:rPr>
        <w:t xml:space="preserve"> (do danas) kontinuirano bilježe negativan predznak. U tom vremenskom razdob</w:t>
      </w:r>
      <w:r w:rsidR="008561CA" w:rsidRPr="008E43AB">
        <w:rPr>
          <w:rFonts w:ascii="Times New Roman" w:hAnsi="Times New Roman" w:cs="Times New Roman"/>
          <w:sz w:val="24"/>
          <w:szCs w:val="24"/>
        </w:rPr>
        <w:t>lju vrijednosno najznačajniji</w:t>
      </w:r>
      <w:r w:rsidRPr="008E43AB">
        <w:rPr>
          <w:rFonts w:ascii="Times New Roman" w:hAnsi="Times New Roman" w:cs="Times New Roman"/>
          <w:sz w:val="24"/>
          <w:szCs w:val="24"/>
        </w:rPr>
        <w:t xml:space="preserve"> manjak utvr</w:t>
      </w:r>
      <w:r w:rsidR="00854947" w:rsidRPr="008E43AB">
        <w:rPr>
          <w:rFonts w:ascii="Times New Roman" w:hAnsi="Times New Roman" w:cs="Times New Roman"/>
          <w:sz w:val="24"/>
          <w:szCs w:val="24"/>
        </w:rPr>
        <w:t xml:space="preserve">đen </w:t>
      </w:r>
      <w:r w:rsidR="008561CA" w:rsidRPr="008E43AB">
        <w:rPr>
          <w:rFonts w:ascii="Times New Roman" w:hAnsi="Times New Roman" w:cs="Times New Roman"/>
          <w:sz w:val="24"/>
          <w:szCs w:val="24"/>
        </w:rPr>
        <w:t>je sa stanjem na dan 31.12.2022</w:t>
      </w:r>
      <w:r w:rsidR="00014657" w:rsidRPr="008E43AB">
        <w:rPr>
          <w:rFonts w:ascii="Times New Roman" w:hAnsi="Times New Roman" w:cs="Times New Roman"/>
          <w:sz w:val="24"/>
          <w:szCs w:val="24"/>
        </w:rPr>
        <w:t xml:space="preserve">. godine – u iznosu </w:t>
      </w:r>
      <w:r w:rsidR="00E95063" w:rsidRPr="008E43AB">
        <w:rPr>
          <w:rFonts w:ascii="Times New Roman" w:hAnsi="Times New Roman" w:cs="Times New Roman"/>
          <w:sz w:val="24"/>
          <w:szCs w:val="24"/>
        </w:rPr>
        <w:t>od</w:t>
      </w:r>
      <w:r w:rsidR="008561CA" w:rsidRPr="008E43AB">
        <w:rPr>
          <w:rFonts w:ascii="Times New Roman" w:hAnsi="Times New Roman" w:cs="Times New Roman"/>
          <w:sz w:val="24"/>
          <w:szCs w:val="24"/>
        </w:rPr>
        <w:t xml:space="preserve"> </w:t>
      </w:r>
      <w:r w:rsidR="008561C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- 3.307.795,03</w:t>
      </w:r>
      <w:r w:rsidR="008561CA" w:rsidRPr="008E43AB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82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kuna, odnosno 439.019,85 eura.</w:t>
      </w:r>
    </w:p>
    <w:p w:rsidR="00877358" w:rsidRPr="008E43AB" w:rsidRDefault="0065564B">
      <w:pPr>
        <w:pStyle w:val="Tijeloteksta"/>
        <w:spacing w:before="161" w:line="259" w:lineRule="auto"/>
        <w:ind w:left="115" w:right="114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nastavku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daju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podaci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prenesenih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(korigiranih</w:t>
      </w:r>
      <w:r w:rsidRPr="008E43AB">
        <w:rPr>
          <w:rFonts w:ascii="Times New Roman" w:hAnsi="Times New Roman" w:cs="Times New Roman"/>
          <w:sz w:val="24"/>
          <w:szCs w:val="24"/>
        </w:rPr>
        <w:t>)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negativnih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rezultata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z w:val="24"/>
          <w:szCs w:val="24"/>
        </w:rPr>
        <w:t>prethodnih godina</w:t>
      </w:r>
      <w:r w:rsidRPr="008E43AB">
        <w:rPr>
          <w:rFonts w:ascii="Times New Roman" w:hAnsi="Times New Roman" w:cs="Times New Roman"/>
          <w:sz w:val="24"/>
          <w:szCs w:val="24"/>
        </w:rPr>
        <w:t>, ostvareni</w:t>
      </w:r>
      <w:r w:rsidR="007E5A1B" w:rsidRPr="008E43AB">
        <w:rPr>
          <w:rFonts w:ascii="Times New Roman" w:hAnsi="Times New Roman" w:cs="Times New Roman"/>
          <w:sz w:val="24"/>
          <w:szCs w:val="24"/>
        </w:rPr>
        <w:t>h</w:t>
      </w:r>
      <w:r w:rsidRPr="008E43AB">
        <w:rPr>
          <w:rFonts w:ascii="Times New Roman" w:hAnsi="Times New Roman" w:cs="Times New Roman"/>
          <w:sz w:val="24"/>
          <w:szCs w:val="24"/>
        </w:rPr>
        <w:t xml:space="preserve"> iznos</w:t>
      </w:r>
      <w:r w:rsidR="007E5A1B" w:rsidRPr="008E43AB">
        <w:rPr>
          <w:rFonts w:ascii="Times New Roman" w:hAnsi="Times New Roman" w:cs="Times New Roman"/>
          <w:sz w:val="24"/>
          <w:szCs w:val="24"/>
        </w:rPr>
        <w:t>a</w:t>
      </w:r>
      <w:r w:rsidRPr="008E43AB">
        <w:rPr>
          <w:rFonts w:ascii="Times New Roman" w:hAnsi="Times New Roman" w:cs="Times New Roman"/>
          <w:sz w:val="24"/>
          <w:szCs w:val="24"/>
        </w:rPr>
        <w:t xml:space="preserve"> prihoda i primitaka, realiziranih rashoda i izdataka, te rezultat</w:t>
      </w:r>
      <w:r w:rsidR="007E5A1B" w:rsidRPr="008E43AB">
        <w:rPr>
          <w:rFonts w:ascii="Times New Roman" w:hAnsi="Times New Roman" w:cs="Times New Roman"/>
          <w:sz w:val="24"/>
          <w:szCs w:val="24"/>
        </w:rPr>
        <w:t>a na kraju godina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Godišnji</w:t>
      </w:r>
      <w:r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podaci</w:t>
      </w:r>
      <w:r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E5A1B"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navedeni u nastavku (tablici) odnose se na razdoblje </w:t>
      </w:r>
      <w:r w:rsidRPr="008E43AB">
        <w:rPr>
          <w:rFonts w:ascii="Times New Roman" w:hAnsi="Times New Roman" w:cs="Times New Roman"/>
          <w:sz w:val="24"/>
          <w:szCs w:val="24"/>
        </w:rPr>
        <w:t>od</w:t>
      </w:r>
      <w:r w:rsidRPr="008E43A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14657" w:rsidRPr="008E43AB">
        <w:rPr>
          <w:rFonts w:ascii="Times New Roman" w:hAnsi="Times New Roman" w:cs="Times New Roman"/>
          <w:sz w:val="24"/>
          <w:szCs w:val="24"/>
        </w:rPr>
        <w:t>2017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21438">
        <w:rPr>
          <w:rFonts w:ascii="Times New Roman" w:hAnsi="Times New Roman" w:cs="Times New Roman"/>
          <w:sz w:val="24"/>
          <w:szCs w:val="24"/>
        </w:rPr>
        <w:t>godine do 31.12.2023</w:t>
      </w:r>
      <w:r w:rsidR="007E5A1B" w:rsidRPr="008E43AB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77358" w:rsidRPr="008E43AB" w:rsidRDefault="00877358">
      <w:pPr>
        <w:pStyle w:val="Tijeloteksta"/>
        <w:spacing w:before="6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141"/>
        <w:gridCol w:w="2109"/>
        <w:gridCol w:w="2153"/>
        <w:gridCol w:w="1812"/>
      </w:tblGrid>
      <w:tr w:rsidR="00732A3A" w:rsidRPr="008E43AB" w:rsidTr="008561CA">
        <w:trPr>
          <w:trHeight w:val="505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God.</w:t>
            </w:r>
          </w:p>
        </w:tc>
        <w:tc>
          <w:tcPr>
            <w:tcW w:w="2141" w:type="dxa"/>
          </w:tcPr>
          <w:p w:rsidR="00877358" w:rsidRPr="008E43AB" w:rsidRDefault="0065564B">
            <w:pPr>
              <w:pStyle w:val="TableParagraph"/>
              <w:ind w:left="445" w:righ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Preneseni</w:t>
            </w:r>
          </w:p>
          <w:p w:rsidR="00877358" w:rsidRPr="008E43AB" w:rsidRDefault="0065564B">
            <w:pPr>
              <w:pStyle w:val="TableParagraph"/>
              <w:spacing w:before="1" w:line="232" w:lineRule="exact"/>
              <w:ind w:left="445"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2109" w:type="dxa"/>
          </w:tcPr>
          <w:p w:rsidR="00877358" w:rsidRPr="008E43AB" w:rsidRDefault="0065564B">
            <w:pPr>
              <w:pStyle w:val="TableParagraph"/>
              <w:ind w:left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Prihodi i primici</w:t>
            </w:r>
          </w:p>
        </w:tc>
        <w:tc>
          <w:tcPr>
            <w:tcW w:w="2153" w:type="dxa"/>
          </w:tcPr>
          <w:p w:rsidR="00877358" w:rsidRPr="008E43AB" w:rsidRDefault="0065564B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Rashodi i izdaci</w:t>
            </w:r>
          </w:p>
        </w:tc>
        <w:tc>
          <w:tcPr>
            <w:tcW w:w="1812" w:type="dxa"/>
          </w:tcPr>
          <w:p w:rsidR="00877358" w:rsidRPr="008E43AB" w:rsidRDefault="0065564B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</w:tr>
      <w:tr w:rsidR="00732A3A" w:rsidRPr="008E43AB" w:rsidTr="008561CA">
        <w:trPr>
          <w:trHeight w:val="251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141" w:type="dxa"/>
          </w:tcPr>
          <w:p w:rsidR="00877358" w:rsidRPr="008E43AB" w:rsidRDefault="00E95063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-2.308.246,00</w:t>
            </w:r>
          </w:p>
        </w:tc>
        <w:tc>
          <w:tcPr>
            <w:tcW w:w="2109" w:type="dxa"/>
          </w:tcPr>
          <w:p w:rsidR="00877358" w:rsidRPr="008E43AB" w:rsidRDefault="00E95063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8.278.484,94</w:t>
            </w:r>
          </w:p>
        </w:tc>
        <w:tc>
          <w:tcPr>
            <w:tcW w:w="2153" w:type="dxa"/>
          </w:tcPr>
          <w:p w:rsidR="00877358" w:rsidRPr="008E43AB" w:rsidRDefault="00E95063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8.619.299,14</w:t>
            </w:r>
          </w:p>
        </w:tc>
        <w:tc>
          <w:tcPr>
            <w:tcW w:w="1812" w:type="dxa"/>
          </w:tcPr>
          <w:p w:rsidR="00877358" w:rsidRPr="008E43AB" w:rsidRDefault="00E95063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-2.649.060,20</w:t>
            </w:r>
          </w:p>
        </w:tc>
      </w:tr>
      <w:tr w:rsidR="00732A3A" w:rsidRPr="008E43AB" w:rsidTr="008561CA">
        <w:trPr>
          <w:trHeight w:val="254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before="2"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2141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-2.663.478,51</w:t>
            </w:r>
          </w:p>
        </w:tc>
        <w:tc>
          <w:tcPr>
            <w:tcW w:w="2109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10.678.785,36</w:t>
            </w:r>
          </w:p>
        </w:tc>
        <w:tc>
          <w:tcPr>
            <w:tcW w:w="2153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8.179.658,99</w:t>
            </w:r>
          </w:p>
        </w:tc>
        <w:tc>
          <w:tcPr>
            <w:tcW w:w="1812" w:type="dxa"/>
          </w:tcPr>
          <w:p w:rsidR="00877358" w:rsidRPr="008E43AB" w:rsidRDefault="00E95063">
            <w:pPr>
              <w:pStyle w:val="TableParagraph"/>
              <w:spacing w:before="2"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-164.352,14</w:t>
            </w:r>
          </w:p>
        </w:tc>
      </w:tr>
      <w:tr w:rsidR="00732A3A" w:rsidRPr="008E43AB" w:rsidTr="008561CA">
        <w:trPr>
          <w:trHeight w:val="253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141" w:type="dxa"/>
          </w:tcPr>
          <w:p w:rsidR="00877358" w:rsidRPr="008E43AB" w:rsidRDefault="00417848">
            <w:pPr>
              <w:pStyle w:val="TableParagraph"/>
              <w:spacing w:line="234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-167.648,42</w:t>
            </w:r>
          </w:p>
        </w:tc>
        <w:tc>
          <w:tcPr>
            <w:tcW w:w="2109" w:type="dxa"/>
          </w:tcPr>
          <w:p w:rsidR="00877358" w:rsidRPr="008E43AB" w:rsidRDefault="00417848">
            <w:pPr>
              <w:pStyle w:val="TableParagraph"/>
              <w:spacing w:line="234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18.891.146,18</w:t>
            </w:r>
          </w:p>
        </w:tc>
        <w:tc>
          <w:tcPr>
            <w:tcW w:w="2153" w:type="dxa"/>
          </w:tcPr>
          <w:p w:rsidR="00877358" w:rsidRPr="008E43AB" w:rsidRDefault="00417848">
            <w:pPr>
              <w:pStyle w:val="TableParagraph"/>
              <w:spacing w:line="234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19.127.805,62</w:t>
            </w:r>
          </w:p>
        </w:tc>
        <w:tc>
          <w:tcPr>
            <w:tcW w:w="1812" w:type="dxa"/>
          </w:tcPr>
          <w:p w:rsidR="00877358" w:rsidRPr="008E43AB" w:rsidRDefault="005902E8">
            <w:pPr>
              <w:pStyle w:val="TableParagraph"/>
              <w:spacing w:line="234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-404.307,86</w:t>
            </w:r>
          </w:p>
        </w:tc>
      </w:tr>
      <w:tr w:rsidR="00732A3A" w:rsidRPr="008E43AB" w:rsidTr="008561CA">
        <w:trPr>
          <w:trHeight w:val="251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141" w:type="dxa"/>
          </w:tcPr>
          <w:p w:rsidR="00877358" w:rsidRPr="008E43AB" w:rsidRDefault="005902E8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-404.307,86</w:t>
            </w:r>
          </w:p>
        </w:tc>
        <w:tc>
          <w:tcPr>
            <w:tcW w:w="2109" w:type="dxa"/>
          </w:tcPr>
          <w:p w:rsidR="00877358" w:rsidRPr="008E43AB" w:rsidRDefault="005902E8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19.923.762,64</w:t>
            </w:r>
          </w:p>
        </w:tc>
        <w:tc>
          <w:tcPr>
            <w:tcW w:w="2153" w:type="dxa"/>
          </w:tcPr>
          <w:p w:rsidR="00877358" w:rsidRPr="008E43AB" w:rsidRDefault="005902E8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20.103.595,99</w:t>
            </w:r>
          </w:p>
        </w:tc>
        <w:tc>
          <w:tcPr>
            <w:tcW w:w="1812" w:type="dxa"/>
          </w:tcPr>
          <w:p w:rsidR="00877358" w:rsidRPr="008E43AB" w:rsidRDefault="005902E8" w:rsidP="005902E8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-584.141,21</w:t>
            </w:r>
          </w:p>
        </w:tc>
      </w:tr>
      <w:tr w:rsidR="00877358" w:rsidRPr="008E43AB" w:rsidTr="008561CA">
        <w:trPr>
          <w:trHeight w:val="251"/>
        </w:trPr>
        <w:tc>
          <w:tcPr>
            <w:tcW w:w="847" w:type="dxa"/>
          </w:tcPr>
          <w:p w:rsidR="00877358" w:rsidRPr="008E43AB" w:rsidRDefault="0065564B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41" w:type="dxa"/>
          </w:tcPr>
          <w:p w:rsidR="00877358" w:rsidRPr="008E43AB" w:rsidRDefault="00E95063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2E8" w:rsidRPr="008E43AB">
              <w:rPr>
                <w:rFonts w:ascii="Times New Roman" w:hAnsi="Times New Roman" w:cs="Times New Roman"/>
                <w:sz w:val="24"/>
                <w:szCs w:val="24"/>
              </w:rPr>
              <w:t>584.141,21</w:t>
            </w:r>
          </w:p>
        </w:tc>
        <w:tc>
          <w:tcPr>
            <w:tcW w:w="2109" w:type="dxa"/>
          </w:tcPr>
          <w:p w:rsidR="00877358" w:rsidRPr="008E43AB" w:rsidRDefault="005902E8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13.916.284,42</w:t>
            </w:r>
          </w:p>
        </w:tc>
        <w:tc>
          <w:tcPr>
            <w:tcW w:w="2153" w:type="dxa"/>
          </w:tcPr>
          <w:p w:rsidR="00877358" w:rsidRPr="008E43AB" w:rsidRDefault="005902E8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16.098.672,11</w:t>
            </w:r>
          </w:p>
        </w:tc>
        <w:tc>
          <w:tcPr>
            <w:tcW w:w="1812" w:type="dxa"/>
          </w:tcPr>
          <w:p w:rsidR="00877358" w:rsidRPr="008E43AB" w:rsidRDefault="00E95063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2E8" w:rsidRPr="008E43AB">
              <w:rPr>
                <w:rFonts w:ascii="Times New Roman" w:hAnsi="Times New Roman" w:cs="Times New Roman"/>
                <w:sz w:val="24"/>
                <w:szCs w:val="24"/>
              </w:rPr>
              <w:t>2.766.528,90</w:t>
            </w:r>
          </w:p>
        </w:tc>
      </w:tr>
      <w:tr w:rsidR="008561CA" w:rsidRPr="008E43AB" w:rsidTr="008561CA">
        <w:trPr>
          <w:trHeight w:val="251"/>
        </w:trPr>
        <w:tc>
          <w:tcPr>
            <w:tcW w:w="847" w:type="dxa"/>
          </w:tcPr>
          <w:p w:rsidR="008561CA" w:rsidRPr="008E43AB" w:rsidRDefault="008561CA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2141" w:type="dxa"/>
          </w:tcPr>
          <w:p w:rsidR="008561CA" w:rsidRPr="008E43AB" w:rsidRDefault="007E5A1B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-2.766.528,90</w:t>
            </w:r>
          </w:p>
        </w:tc>
        <w:tc>
          <w:tcPr>
            <w:tcW w:w="2109" w:type="dxa"/>
          </w:tcPr>
          <w:p w:rsidR="008561CA" w:rsidRPr="008E43AB" w:rsidRDefault="007E5A1B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15.076.249,16</w:t>
            </w:r>
          </w:p>
        </w:tc>
        <w:tc>
          <w:tcPr>
            <w:tcW w:w="2153" w:type="dxa"/>
          </w:tcPr>
          <w:p w:rsidR="008561CA" w:rsidRPr="008E43AB" w:rsidRDefault="007E5A1B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15.617.515,29</w:t>
            </w:r>
          </w:p>
        </w:tc>
        <w:tc>
          <w:tcPr>
            <w:tcW w:w="1812" w:type="dxa"/>
          </w:tcPr>
          <w:p w:rsidR="008561CA" w:rsidRPr="008E43AB" w:rsidRDefault="007E5A1B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-3.307.795,03</w:t>
            </w:r>
          </w:p>
        </w:tc>
      </w:tr>
    </w:tbl>
    <w:p w:rsidR="00821438" w:rsidRDefault="00821438" w:rsidP="00790ADA">
      <w:pPr>
        <w:pStyle w:val="Tijeloteksta"/>
        <w:spacing w:before="161" w:line="25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</w:t>
      </w:r>
      <w:r w:rsidR="00B82D57">
        <w:rPr>
          <w:rFonts w:ascii="Times New Roman" w:hAnsi="Times New Roman" w:cs="Times New Roman"/>
          <w:sz w:val="24"/>
          <w:szCs w:val="24"/>
        </w:rPr>
        <w:t>edeni iznosi ostvareni su u valu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="003F2FC8">
        <w:rPr>
          <w:rFonts w:ascii="Times New Roman" w:hAnsi="Times New Roman" w:cs="Times New Roman"/>
          <w:sz w:val="24"/>
          <w:szCs w:val="24"/>
        </w:rPr>
        <w:t>kuna (KN)</w:t>
      </w:r>
    </w:p>
    <w:p w:rsidR="00821438" w:rsidRDefault="00821438" w:rsidP="00790ADA">
      <w:pPr>
        <w:pStyle w:val="Tijeloteksta"/>
        <w:spacing w:before="161" w:line="25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141"/>
        <w:gridCol w:w="2109"/>
        <w:gridCol w:w="2153"/>
        <w:gridCol w:w="1812"/>
      </w:tblGrid>
      <w:tr w:rsidR="00821438" w:rsidRPr="008E43AB" w:rsidTr="00EE5B8F">
        <w:trPr>
          <w:trHeight w:val="505"/>
        </w:trPr>
        <w:tc>
          <w:tcPr>
            <w:tcW w:w="847" w:type="dxa"/>
          </w:tcPr>
          <w:p w:rsidR="00821438" w:rsidRPr="008E43AB" w:rsidRDefault="00821438" w:rsidP="00EE5B8F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God.</w:t>
            </w:r>
          </w:p>
        </w:tc>
        <w:tc>
          <w:tcPr>
            <w:tcW w:w="2141" w:type="dxa"/>
          </w:tcPr>
          <w:p w:rsidR="00821438" w:rsidRPr="008E43AB" w:rsidRDefault="00821438" w:rsidP="00EE5B8F">
            <w:pPr>
              <w:pStyle w:val="TableParagraph"/>
              <w:ind w:left="445" w:righ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Preneseni</w:t>
            </w:r>
          </w:p>
          <w:p w:rsidR="00821438" w:rsidRPr="008E43AB" w:rsidRDefault="00821438" w:rsidP="00EE5B8F">
            <w:pPr>
              <w:pStyle w:val="TableParagraph"/>
              <w:spacing w:before="1" w:line="232" w:lineRule="exact"/>
              <w:ind w:left="445"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2109" w:type="dxa"/>
          </w:tcPr>
          <w:p w:rsidR="00821438" w:rsidRPr="008E43AB" w:rsidRDefault="00821438" w:rsidP="00EE5B8F">
            <w:pPr>
              <w:pStyle w:val="TableParagraph"/>
              <w:ind w:left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Prihodi i primici</w:t>
            </w:r>
          </w:p>
        </w:tc>
        <w:tc>
          <w:tcPr>
            <w:tcW w:w="2153" w:type="dxa"/>
          </w:tcPr>
          <w:p w:rsidR="00821438" w:rsidRPr="008E43AB" w:rsidRDefault="00821438" w:rsidP="00EE5B8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Rashodi i izdaci</w:t>
            </w:r>
          </w:p>
        </w:tc>
        <w:tc>
          <w:tcPr>
            <w:tcW w:w="1812" w:type="dxa"/>
          </w:tcPr>
          <w:p w:rsidR="00821438" w:rsidRPr="008E43AB" w:rsidRDefault="00821438" w:rsidP="00EE5B8F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</w:tr>
      <w:tr w:rsidR="00821438" w:rsidRPr="008E43AB" w:rsidTr="00EE5B8F">
        <w:trPr>
          <w:trHeight w:val="251"/>
        </w:trPr>
        <w:tc>
          <w:tcPr>
            <w:tcW w:w="847" w:type="dxa"/>
          </w:tcPr>
          <w:p w:rsidR="00821438" w:rsidRPr="008E43AB" w:rsidRDefault="00821438" w:rsidP="00EE5B8F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821438" w:rsidRPr="008E43AB" w:rsidRDefault="00821438" w:rsidP="00EE5B8F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-439.019,85 </w:t>
            </w:r>
          </w:p>
        </w:tc>
        <w:tc>
          <w:tcPr>
            <w:tcW w:w="2109" w:type="dxa"/>
          </w:tcPr>
          <w:p w:rsidR="00821438" w:rsidRPr="008E43AB" w:rsidRDefault="00821438" w:rsidP="00EE5B8F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2.912.631,43</w:t>
            </w:r>
          </w:p>
        </w:tc>
        <w:tc>
          <w:tcPr>
            <w:tcW w:w="2153" w:type="dxa"/>
          </w:tcPr>
          <w:p w:rsidR="00821438" w:rsidRPr="008E43AB" w:rsidRDefault="00821438" w:rsidP="00EE5B8F">
            <w:pPr>
              <w:pStyle w:val="TableParagraph"/>
              <w:spacing w:line="232" w:lineRule="exact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2.818.989,52</w:t>
            </w:r>
          </w:p>
        </w:tc>
        <w:tc>
          <w:tcPr>
            <w:tcW w:w="1812" w:type="dxa"/>
          </w:tcPr>
          <w:p w:rsidR="00821438" w:rsidRPr="008E43AB" w:rsidRDefault="00821438" w:rsidP="00EE5B8F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FC8">
              <w:rPr>
                <w:rFonts w:ascii="Times New Roman" w:hAnsi="Times New Roman" w:cs="Times New Roman"/>
                <w:sz w:val="24"/>
                <w:szCs w:val="24"/>
              </w:rPr>
              <w:t>345.377,94</w:t>
            </w:r>
          </w:p>
        </w:tc>
      </w:tr>
    </w:tbl>
    <w:p w:rsidR="003F2FC8" w:rsidRDefault="003F2FC8" w:rsidP="003F2FC8">
      <w:pPr>
        <w:pStyle w:val="Tijeloteksta"/>
        <w:spacing w:before="161" w:line="25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iznosi ostvareni su u valuti euro (</w:t>
      </w:r>
      <w:r w:rsidRPr="00FD20E7">
        <w:rPr>
          <w:shd w:val="clear" w:color="auto" w:fill="FFFFFF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7358" w:rsidRDefault="0065564B" w:rsidP="00790ADA">
      <w:pPr>
        <w:pStyle w:val="Tijeloteksta"/>
        <w:spacing w:before="161" w:line="25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Iz navedenih podataka vidljivo</w:t>
      </w:r>
      <w:r w:rsidR="00092BA0" w:rsidRPr="008E43AB">
        <w:rPr>
          <w:rFonts w:ascii="Times New Roman" w:hAnsi="Times New Roman" w:cs="Times New Roman"/>
          <w:sz w:val="24"/>
          <w:szCs w:val="24"/>
        </w:rPr>
        <w:t xml:space="preserve"> je</w:t>
      </w:r>
      <w:r w:rsidRPr="008E43AB">
        <w:rPr>
          <w:rFonts w:ascii="Times New Roman" w:hAnsi="Times New Roman" w:cs="Times New Roman"/>
          <w:sz w:val="24"/>
          <w:szCs w:val="24"/>
        </w:rPr>
        <w:t xml:space="preserve"> da su rashodi i izdaci (uvećano za preneseni manjak iz prethodne godine) tijekom proteklih godina konstantno bili veći od raspoloživih godišnjih prihoda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primitaka,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što</w:t>
      </w:r>
      <w:r w:rsidRPr="008E43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već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godinama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rezultira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negativnim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rezultatom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poslovanja.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nastojanju da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postojeći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standard</w:t>
      </w:r>
      <w:r w:rsidRPr="008E43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pružanju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usluga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građanima</w:t>
      </w:r>
      <w:r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održi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na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istom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nivou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(ili</w:t>
      </w:r>
      <w:r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da</w:t>
      </w:r>
      <w:r w:rsidRPr="008E43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poveća), kao i da se iz proračuna ulaže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 u investicije na području Općine</w:t>
      </w:r>
      <w:r w:rsidR="00092BA0" w:rsidRPr="008E43AB">
        <w:rPr>
          <w:rFonts w:ascii="Times New Roman" w:hAnsi="Times New Roman" w:cs="Times New Roman"/>
          <w:sz w:val="24"/>
          <w:szCs w:val="24"/>
        </w:rPr>
        <w:t xml:space="preserve"> Vidovec</w:t>
      </w:r>
      <w:r w:rsidRPr="008E43AB">
        <w:rPr>
          <w:rFonts w:ascii="Times New Roman" w:hAnsi="Times New Roman" w:cs="Times New Roman"/>
          <w:sz w:val="24"/>
          <w:szCs w:val="24"/>
        </w:rPr>
        <w:t>, svake se godine znatan iznos manjka prenosio u narednu godinu, bez mogućnosti da se te iste godine i</w:t>
      </w:r>
      <w:r w:rsidRPr="008E43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pokrije.</w:t>
      </w:r>
    </w:p>
    <w:p w:rsidR="00B82D57" w:rsidRPr="008E43AB" w:rsidRDefault="00B82D57" w:rsidP="00790ADA">
      <w:pPr>
        <w:pStyle w:val="Tijeloteksta"/>
        <w:spacing w:before="161" w:line="25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877358" w:rsidRPr="008E43AB" w:rsidRDefault="0065564B">
      <w:pPr>
        <w:pStyle w:val="Tijeloteksta"/>
        <w:spacing w:line="259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težnji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utjecaj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ostvarenog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višegodišnjeg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negativnog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 xml:space="preserve">ublaži, a da se ne naruši redovno podmirenje rashoda proračuna, </w:t>
      </w:r>
      <w:r w:rsidR="005902E8" w:rsidRPr="008E43AB">
        <w:rPr>
          <w:rFonts w:ascii="Times New Roman" w:hAnsi="Times New Roman" w:cs="Times New Roman"/>
          <w:sz w:val="24"/>
          <w:szCs w:val="24"/>
        </w:rPr>
        <w:t>predlaže se da se manjak koji  je ostvaren</w:t>
      </w:r>
      <w:r w:rsidRPr="008E43AB">
        <w:rPr>
          <w:rFonts w:ascii="Times New Roman" w:hAnsi="Times New Roman" w:cs="Times New Roman"/>
          <w:sz w:val="24"/>
          <w:szCs w:val="24"/>
        </w:rPr>
        <w:t xml:space="preserve"> na kraju </w:t>
      </w:r>
      <w:r w:rsidR="003F2FC8">
        <w:rPr>
          <w:rFonts w:ascii="Times New Roman" w:hAnsi="Times New Roman" w:cs="Times New Roman"/>
          <w:sz w:val="24"/>
          <w:szCs w:val="24"/>
        </w:rPr>
        <w:t>2023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. </w:t>
      </w:r>
      <w:r w:rsidRPr="008E43AB">
        <w:rPr>
          <w:rFonts w:ascii="Times New Roman" w:hAnsi="Times New Roman" w:cs="Times New Roman"/>
          <w:sz w:val="24"/>
          <w:szCs w:val="24"/>
        </w:rPr>
        <w:t>proračunske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 godine u iznosu od -</w:t>
      </w:r>
      <w:r w:rsidR="003F2FC8">
        <w:rPr>
          <w:rFonts w:ascii="Times New Roman" w:hAnsi="Times New Roman" w:cs="Times New Roman"/>
          <w:sz w:val="24"/>
          <w:szCs w:val="24"/>
        </w:rPr>
        <w:t>345.377,94 eura</w:t>
      </w:r>
      <w:r w:rsidRPr="008E43AB">
        <w:rPr>
          <w:rFonts w:ascii="Times New Roman" w:hAnsi="Times New Roman" w:cs="Times New Roman"/>
          <w:sz w:val="24"/>
          <w:szCs w:val="24"/>
        </w:rPr>
        <w:t xml:space="preserve"> s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ukcesivno pokriva kroz naredne </w:t>
      </w:r>
      <w:r w:rsidR="00092BA0" w:rsidRPr="008E43AB">
        <w:rPr>
          <w:rFonts w:ascii="Times New Roman" w:hAnsi="Times New Roman" w:cs="Times New Roman"/>
          <w:sz w:val="24"/>
          <w:szCs w:val="24"/>
        </w:rPr>
        <w:t>3</w:t>
      </w:r>
      <w:r w:rsidRPr="008E43AB">
        <w:rPr>
          <w:rFonts w:ascii="Times New Roman" w:hAnsi="Times New Roman" w:cs="Times New Roman"/>
          <w:sz w:val="24"/>
          <w:szCs w:val="24"/>
        </w:rPr>
        <w:t xml:space="preserve"> godine, ka</w:t>
      </w:r>
      <w:r w:rsidR="003F2FC8">
        <w:rPr>
          <w:rFonts w:ascii="Times New Roman" w:hAnsi="Times New Roman" w:cs="Times New Roman"/>
          <w:sz w:val="24"/>
          <w:szCs w:val="24"/>
        </w:rPr>
        <w:t>ko ne bi teretio isključivo 2024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godinu.</w:t>
      </w:r>
    </w:p>
    <w:p w:rsidR="00877358" w:rsidRPr="008E43AB" w:rsidRDefault="00877358">
      <w:pPr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77358" w:rsidRPr="008E43AB">
          <w:pgSz w:w="11910" w:h="16840"/>
          <w:pgMar w:top="1580" w:right="1300" w:bottom="1200" w:left="1300" w:header="0" w:footer="1002" w:gutter="0"/>
          <w:cols w:space="720"/>
        </w:sectPr>
      </w:pPr>
    </w:p>
    <w:p w:rsidR="00877358" w:rsidRPr="008E43AB" w:rsidRDefault="0065564B">
      <w:pPr>
        <w:pStyle w:val="Naslov1"/>
        <w:spacing w:before="80" w:line="259" w:lineRule="auto"/>
        <w:ind w:left="115" w:right="117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lastRenderedPageBreak/>
        <w:t>PRIJEDLOG MJERA ZA OTKLANJANJE UZROKA NEGATIVNOG REZULTATA POSLOVANJA I MJERE ZA STABILNO I ODRŽIVO STANJE</w:t>
      </w:r>
    </w:p>
    <w:p w:rsidR="00877358" w:rsidRPr="008E43AB" w:rsidRDefault="00877358">
      <w:pPr>
        <w:pStyle w:val="Tijeloteksta"/>
        <w:spacing w:before="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358" w:rsidRPr="008E43AB" w:rsidRDefault="0065564B">
      <w:pPr>
        <w:pStyle w:val="Tijeloteksta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 svrhu navedenog predlažu se mjere kako slijedi: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before="18" w:line="25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Proračunom i projekcijama planirati sukcesivno višegodišnje podmirenje manjka u razdoblju 202</w:t>
      </w:r>
      <w:r w:rsidR="003F2FC8">
        <w:rPr>
          <w:rFonts w:ascii="Times New Roman" w:hAnsi="Times New Roman" w:cs="Times New Roman"/>
          <w:sz w:val="24"/>
          <w:szCs w:val="24"/>
        </w:rPr>
        <w:t>4</w:t>
      </w:r>
      <w:r w:rsidRPr="008E43AB">
        <w:rPr>
          <w:rFonts w:ascii="Times New Roman" w:hAnsi="Times New Roman" w:cs="Times New Roman"/>
          <w:sz w:val="24"/>
          <w:szCs w:val="24"/>
        </w:rPr>
        <w:t>. –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202</w:t>
      </w:r>
      <w:r w:rsidR="003F2FC8">
        <w:rPr>
          <w:rFonts w:ascii="Times New Roman" w:hAnsi="Times New Roman" w:cs="Times New Roman"/>
          <w:sz w:val="24"/>
          <w:szCs w:val="24"/>
        </w:rPr>
        <w:t>6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</w:p>
    <w:p w:rsidR="00877358" w:rsidRPr="008E43AB" w:rsidRDefault="00092BA0">
      <w:pPr>
        <w:pStyle w:val="Odlomakpopisa"/>
        <w:numPr>
          <w:ilvl w:val="2"/>
          <w:numId w:val="1"/>
        </w:numPr>
        <w:tabs>
          <w:tab w:val="left" w:pos="837"/>
        </w:tabs>
        <w:spacing w:before="3" w:line="259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Izmjenama i dopunama P</w:t>
      </w:r>
      <w:r w:rsidR="0065564B" w:rsidRPr="008E43AB">
        <w:rPr>
          <w:rFonts w:ascii="Times New Roman" w:hAnsi="Times New Roman" w:cs="Times New Roman"/>
          <w:sz w:val="24"/>
          <w:szCs w:val="24"/>
        </w:rPr>
        <w:t>roračuna za 202</w:t>
      </w:r>
      <w:r w:rsidR="003F2FC8">
        <w:rPr>
          <w:rFonts w:ascii="Times New Roman" w:hAnsi="Times New Roman" w:cs="Times New Roman"/>
          <w:sz w:val="24"/>
          <w:szCs w:val="24"/>
        </w:rPr>
        <w:t>4</w:t>
      </w:r>
      <w:r w:rsidR="0065564B" w:rsidRPr="008E43AB">
        <w:rPr>
          <w:rFonts w:ascii="Times New Roman" w:hAnsi="Times New Roman" w:cs="Times New Roman"/>
          <w:sz w:val="24"/>
          <w:szCs w:val="24"/>
        </w:rPr>
        <w:t>. godinu planirati pokriće manjka (utvrditi razliku između procijenjenog</w:t>
      </w:r>
      <w:r w:rsidRPr="008E43AB">
        <w:rPr>
          <w:rFonts w:ascii="Times New Roman" w:hAnsi="Times New Roman" w:cs="Times New Roman"/>
          <w:sz w:val="24"/>
          <w:szCs w:val="24"/>
        </w:rPr>
        <w:t xml:space="preserve"> dijela manjka za pokriće u </w:t>
      </w:r>
      <w:r w:rsidR="003F2FC8">
        <w:rPr>
          <w:rFonts w:ascii="Times New Roman" w:hAnsi="Times New Roman" w:cs="Times New Roman"/>
          <w:sz w:val="24"/>
          <w:szCs w:val="24"/>
        </w:rPr>
        <w:t>2024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="0065564B" w:rsidRPr="008E43AB">
        <w:rPr>
          <w:rFonts w:ascii="Times New Roman" w:hAnsi="Times New Roman" w:cs="Times New Roman"/>
          <w:sz w:val="24"/>
          <w:szCs w:val="24"/>
        </w:rPr>
        <w:t xml:space="preserve"> i utvrđenog rezultata po godišnjem obračunu za 202</w:t>
      </w:r>
      <w:r w:rsidR="003F2FC8">
        <w:rPr>
          <w:rFonts w:ascii="Times New Roman" w:hAnsi="Times New Roman" w:cs="Times New Roman"/>
          <w:sz w:val="24"/>
          <w:szCs w:val="24"/>
        </w:rPr>
        <w:t>3</w:t>
      </w:r>
      <w:r w:rsidR="0065564B" w:rsidRPr="008E43AB">
        <w:rPr>
          <w:rFonts w:ascii="Times New Roman" w:hAnsi="Times New Roman" w:cs="Times New Roman"/>
          <w:sz w:val="24"/>
          <w:szCs w:val="24"/>
        </w:rPr>
        <w:t>. godinu, te s iznosom s</w:t>
      </w:r>
      <w:r w:rsidRPr="008E43AB">
        <w:rPr>
          <w:rFonts w:ascii="Times New Roman" w:hAnsi="Times New Roman" w:cs="Times New Roman"/>
          <w:sz w:val="24"/>
          <w:szCs w:val="24"/>
        </w:rPr>
        <w:t>tvarnog rezultata uravnotežiti P</w:t>
      </w:r>
      <w:r w:rsidR="0065564B" w:rsidRPr="008E43AB">
        <w:rPr>
          <w:rFonts w:ascii="Times New Roman" w:hAnsi="Times New Roman" w:cs="Times New Roman"/>
          <w:sz w:val="24"/>
          <w:szCs w:val="24"/>
        </w:rPr>
        <w:t>roračun za</w:t>
      </w:r>
      <w:r w:rsidR="0065564B" w:rsidRPr="008E43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2FC8">
        <w:rPr>
          <w:rFonts w:ascii="Times New Roman" w:hAnsi="Times New Roman" w:cs="Times New Roman"/>
          <w:sz w:val="24"/>
          <w:szCs w:val="24"/>
        </w:rPr>
        <w:t>2024</w:t>
      </w:r>
      <w:r w:rsidR="0065564B" w:rsidRPr="008E43AB">
        <w:rPr>
          <w:rFonts w:ascii="Times New Roman" w:hAnsi="Times New Roman" w:cs="Times New Roman"/>
          <w:sz w:val="24"/>
          <w:szCs w:val="24"/>
        </w:rPr>
        <w:t>.)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line="25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Kontinuirano pratiti ostvarenje prihoda i pravodobno poduzimati sve mjere naplate potraživanja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8"/>
        </w:tabs>
        <w:ind w:left="837" w:hanging="362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Preuzimati obveze proračuna razumno i u skladu s mogućnostima</w:t>
      </w:r>
      <w:r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proračuna</w:t>
      </w:r>
    </w:p>
    <w:p w:rsidR="00877358" w:rsidRPr="008E43AB" w:rsidRDefault="0065564B">
      <w:pPr>
        <w:pStyle w:val="Odlomakpopisa"/>
        <w:numPr>
          <w:ilvl w:val="2"/>
          <w:numId w:val="1"/>
        </w:numPr>
        <w:tabs>
          <w:tab w:val="left" w:pos="838"/>
        </w:tabs>
        <w:spacing w:before="16" w:line="256" w:lineRule="auto"/>
        <w:ind w:left="837" w:right="112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Racionalizirati poslovanje te pojačano voditi računa o opravdanosti i ekonomičnosti svih rashoda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proračuna</w:t>
      </w:r>
    </w:p>
    <w:p w:rsidR="00877358" w:rsidRPr="008E43AB" w:rsidRDefault="00877358">
      <w:pPr>
        <w:pStyle w:val="Tijeloteksta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877358" w:rsidP="00092BA0">
      <w:pPr>
        <w:pStyle w:val="Tijeloteksta"/>
        <w:spacing w:before="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7358" w:rsidRPr="008E43AB" w:rsidRDefault="0065564B" w:rsidP="00092BA0">
      <w:pPr>
        <w:pStyle w:val="Naslov1"/>
        <w:ind w:left="117" w:right="0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AKCIJSKI PLAN PROVEDBI MJERA</w:t>
      </w:r>
    </w:p>
    <w:p w:rsidR="00877358" w:rsidRPr="008E43AB" w:rsidRDefault="00877358" w:rsidP="00092BA0">
      <w:pPr>
        <w:pStyle w:val="Tijeloteksta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371"/>
        <w:gridCol w:w="3260"/>
      </w:tblGrid>
      <w:tr w:rsidR="00092BA0" w:rsidRPr="008E43AB" w:rsidTr="00092BA0">
        <w:trPr>
          <w:trHeight w:val="491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spacing w:before="119"/>
              <w:ind w:left="9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Naziv mjere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spacing w:before="119"/>
              <w:ind w:left="6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3260" w:type="dxa"/>
          </w:tcPr>
          <w:p w:rsidR="00877358" w:rsidRPr="008E43AB" w:rsidRDefault="0065564B" w:rsidP="00092BA0">
            <w:pPr>
              <w:pStyle w:val="TableParagraph"/>
              <w:spacing w:before="119"/>
              <w:ind w:left="7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Rok provedbe</w:t>
            </w:r>
          </w:p>
        </w:tc>
      </w:tr>
      <w:tr w:rsidR="00092BA0" w:rsidRPr="008E43AB" w:rsidTr="00092BA0">
        <w:trPr>
          <w:trHeight w:val="1012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ind w:left="110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Proračunom i projekcijama planirati sukcesivno višegodišnje podmirenje</w:t>
            </w:r>
          </w:p>
          <w:p w:rsidR="00877358" w:rsidRPr="008E43AB" w:rsidRDefault="0065564B" w:rsidP="00092BA0">
            <w:pPr>
              <w:pStyle w:val="TableParagraph"/>
              <w:spacing w:line="234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manjka</w:t>
            </w:r>
          </w:p>
        </w:tc>
        <w:tc>
          <w:tcPr>
            <w:tcW w:w="3371" w:type="dxa"/>
            <w:vMerge w:val="restart"/>
          </w:tcPr>
          <w:p w:rsidR="00877358" w:rsidRPr="008E43AB" w:rsidRDefault="0065564B" w:rsidP="00092BA0">
            <w:pPr>
              <w:pStyle w:val="TableParagraph"/>
              <w:spacing w:before="132"/>
              <w:ind w:left="11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Proračun koji uključuje rezultat poslovanja pruža cjelovit financijski okvir za donošenje odluka o budućoj potrošnji i izvorima financiranja</w:t>
            </w:r>
          </w:p>
        </w:tc>
        <w:tc>
          <w:tcPr>
            <w:tcW w:w="3260" w:type="dxa"/>
            <w:vMerge w:val="restart"/>
          </w:tcPr>
          <w:p w:rsidR="00877358" w:rsidRPr="008E43AB" w:rsidRDefault="00877358" w:rsidP="00092BA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092BA0" w:rsidP="00092BA0">
            <w:pPr>
              <w:pStyle w:val="TableParagraph"/>
              <w:ind w:left="111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U rokovima za donošenje Proračuna s projekcijama,</w:t>
            </w:r>
            <w:r w:rsidR="0065564B" w:rsidRPr="008E43AB">
              <w:rPr>
                <w:rFonts w:ascii="Times New Roman" w:hAnsi="Times New Roman" w:cs="Times New Roman"/>
                <w:sz w:val="24"/>
                <w:szCs w:val="24"/>
              </w:rPr>
              <w:t>te donošenje izmjena i dopuna proračuna</w:t>
            </w:r>
          </w:p>
        </w:tc>
      </w:tr>
      <w:tr w:rsidR="00092BA0" w:rsidRPr="008E43AB" w:rsidTr="00092BA0">
        <w:trPr>
          <w:trHeight w:val="757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ind w:left="110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Izmjen</w:t>
            </w:r>
            <w:r w:rsidR="003F2FC8">
              <w:rPr>
                <w:rFonts w:ascii="Times New Roman" w:hAnsi="Times New Roman" w:cs="Times New Roman"/>
                <w:sz w:val="24"/>
                <w:szCs w:val="24"/>
              </w:rPr>
              <w:t>ama i dopunama proračuna za 2024</w:t>
            </w: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  <w:p w:rsidR="00877358" w:rsidRPr="008E43AB" w:rsidRDefault="0065564B" w:rsidP="00092BA0">
            <w:pPr>
              <w:pStyle w:val="TableParagraph"/>
              <w:spacing w:line="23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planirati pokriće manjka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 w:rsidR="00877358" w:rsidRPr="008E43AB" w:rsidRDefault="00877358" w:rsidP="0009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77358" w:rsidRPr="008E43AB" w:rsidRDefault="00877358" w:rsidP="0009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A0" w:rsidRPr="008E43AB" w:rsidTr="00092BA0">
        <w:trPr>
          <w:trHeight w:val="1264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spacing w:before="127"/>
              <w:ind w:left="110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 pratiti ostvarenje prihoda i poduzimati mjere naplate potraživanja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ind w:left="11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Postupanje i potpuna primjena procedure za</w:t>
            </w:r>
            <w:r w:rsidR="00092BA0" w:rsidRPr="008E43AB">
              <w:rPr>
                <w:rFonts w:ascii="Times New Roman" w:hAnsi="Times New Roman" w:cs="Times New Roman"/>
                <w:sz w:val="24"/>
                <w:szCs w:val="24"/>
              </w:rPr>
              <w:t xml:space="preserve"> naplatu prihoda uz poduzimanje </w:t>
            </w: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odgovarajućih</w:t>
            </w:r>
          </w:p>
          <w:p w:rsidR="00877358" w:rsidRPr="008E43AB" w:rsidRDefault="0065564B" w:rsidP="00092BA0">
            <w:pPr>
              <w:pStyle w:val="TableParagraph"/>
              <w:spacing w:line="23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mjera naplate</w:t>
            </w:r>
          </w:p>
        </w:tc>
        <w:tc>
          <w:tcPr>
            <w:tcW w:w="3260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92BA0" w:rsidRPr="008E43AB" w:rsidTr="00092BA0">
        <w:trPr>
          <w:trHeight w:val="1264"/>
        </w:trPr>
        <w:tc>
          <w:tcPr>
            <w:tcW w:w="3576" w:type="dxa"/>
          </w:tcPr>
          <w:p w:rsidR="00877358" w:rsidRPr="008E43AB" w:rsidRDefault="0065564B" w:rsidP="00092BA0">
            <w:pPr>
              <w:pStyle w:val="TableParagraph"/>
              <w:spacing w:before="127"/>
              <w:ind w:left="110"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Preuzimati obveze proračuna razumno i u skladu s mogućnostima proračuna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ind w:left="11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Preuzimanje obveza u skladu s dinamikom ostvarenja izvora</w:t>
            </w:r>
          </w:p>
          <w:p w:rsidR="00877358" w:rsidRPr="008E43AB" w:rsidRDefault="0065564B" w:rsidP="00092BA0">
            <w:pPr>
              <w:pStyle w:val="TableParagraph"/>
              <w:spacing w:before="6" w:line="252" w:lineRule="exact"/>
              <w:ind w:left="11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financiranja planiranih Proračunom</w:t>
            </w:r>
          </w:p>
        </w:tc>
        <w:tc>
          <w:tcPr>
            <w:tcW w:w="3260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92BA0" w:rsidRPr="008E43AB" w:rsidTr="00092BA0">
        <w:trPr>
          <w:trHeight w:val="2272"/>
        </w:trPr>
        <w:tc>
          <w:tcPr>
            <w:tcW w:w="3576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ind w:left="110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Racionalizirati poslovanje te pojačano voditi računa o opravdanosti i ekonomičnosti svih rashoda proračuna</w:t>
            </w:r>
          </w:p>
        </w:tc>
        <w:tc>
          <w:tcPr>
            <w:tcW w:w="3371" w:type="dxa"/>
          </w:tcPr>
          <w:p w:rsidR="00877358" w:rsidRPr="008E43AB" w:rsidRDefault="0065564B" w:rsidP="00092BA0">
            <w:pPr>
              <w:pStyle w:val="TableParagraph"/>
              <w:ind w:left="110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Maksimalna racionalizacija trošenja proračunskih sredstava, praćenje i analiza troškova, novčanog tijeka, rokova podmirivanja obveza prema dobavljačima i korisnicima proračuna, promjena organizacijske</w:t>
            </w:r>
          </w:p>
          <w:p w:rsidR="00877358" w:rsidRPr="008E43AB" w:rsidRDefault="0065564B" w:rsidP="00092BA0">
            <w:pPr>
              <w:pStyle w:val="TableParagraph"/>
              <w:spacing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strukture i dr.)</w:t>
            </w:r>
          </w:p>
        </w:tc>
        <w:tc>
          <w:tcPr>
            <w:tcW w:w="3260" w:type="dxa"/>
          </w:tcPr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58" w:rsidRPr="008E43AB" w:rsidRDefault="0065564B" w:rsidP="00092BA0">
            <w:pPr>
              <w:pStyle w:val="TableParagraph"/>
              <w:spacing w:before="180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:rsidR="0065564B" w:rsidRPr="008E43AB" w:rsidRDefault="0065564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564B" w:rsidRPr="008E43AB">
      <w:pgSz w:w="11910" w:h="16840"/>
      <w:pgMar w:top="132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E0" w:rsidRDefault="00905BE0">
      <w:r>
        <w:separator/>
      </w:r>
    </w:p>
  </w:endnote>
  <w:endnote w:type="continuationSeparator" w:id="0">
    <w:p w:rsidR="00905BE0" w:rsidRDefault="0090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8" w:rsidRDefault="008B7D1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358" w:rsidRDefault="0065564B">
                          <w:pPr>
                            <w:pStyle w:val="Tijeloteksta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6BA">
                            <w:rPr>
                              <w:rFonts w:ascii="Carlito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:rsidR="00877358" w:rsidRDefault="0065564B">
                    <w:pPr>
                      <w:pStyle w:val="Tijeloteksta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6BA">
                      <w:rPr>
                        <w:rFonts w:ascii="Carlito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E0" w:rsidRDefault="00905BE0">
      <w:r>
        <w:separator/>
      </w:r>
    </w:p>
  </w:footnote>
  <w:footnote w:type="continuationSeparator" w:id="0">
    <w:p w:rsidR="00905BE0" w:rsidRDefault="0090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5634"/>
    <w:multiLevelType w:val="multilevel"/>
    <w:tmpl w:val="876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B2169"/>
    <w:multiLevelType w:val="multilevel"/>
    <w:tmpl w:val="FBC8AADC"/>
    <w:lvl w:ilvl="0">
      <w:start w:val="1"/>
      <w:numFmt w:val="decimalZero"/>
      <w:lvlText w:val="%1"/>
      <w:lvlJc w:val="left"/>
      <w:pPr>
        <w:ind w:left="115" w:hanging="730"/>
      </w:pPr>
      <w:rPr>
        <w:rFonts w:hint="default"/>
        <w:lang w:val="bs-Latn" w:eastAsia="en-US" w:bidi="ar-SA"/>
      </w:rPr>
    </w:lvl>
    <w:lvl w:ilvl="1">
      <w:start w:val="1"/>
      <w:numFmt w:val="decimalZero"/>
      <w:lvlText w:val="%1.%2."/>
      <w:lvlJc w:val="left"/>
      <w:pPr>
        <w:ind w:left="115" w:hanging="730"/>
      </w:pPr>
      <w:rPr>
        <w:rFonts w:ascii="Arial" w:eastAsia="Arial" w:hAnsi="Arial" w:cs="Arial" w:hint="default"/>
        <w:spacing w:val="-1"/>
        <w:w w:val="100"/>
        <w:sz w:val="22"/>
        <w:szCs w:val="22"/>
        <w:lang w:val="bs-Latn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3">
      <w:numFmt w:val="bullet"/>
      <w:lvlText w:val="•"/>
      <w:lvlJc w:val="left"/>
      <w:pPr>
        <w:ind w:left="2721" w:hanging="361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662" w:hanging="361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602" w:hanging="361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543" w:hanging="361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484" w:hanging="361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424" w:hanging="361"/>
      </w:pPr>
      <w:rPr>
        <w:rFonts w:hint="default"/>
        <w:lang w:val="bs-Latn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8"/>
    <w:rsid w:val="00014657"/>
    <w:rsid w:val="00092BA0"/>
    <w:rsid w:val="000C1416"/>
    <w:rsid w:val="000D70CD"/>
    <w:rsid w:val="00113E5D"/>
    <w:rsid w:val="001A67B2"/>
    <w:rsid w:val="001B4D51"/>
    <w:rsid w:val="00227039"/>
    <w:rsid w:val="00250138"/>
    <w:rsid w:val="00325D67"/>
    <w:rsid w:val="00395F1F"/>
    <w:rsid w:val="003C1F14"/>
    <w:rsid w:val="003F2FC8"/>
    <w:rsid w:val="003F6780"/>
    <w:rsid w:val="00417848"/>
    <w:rsid w:val="00421F99"/>
    <w:rsid w:val="004739B7"/>
    <w:rsid w:val="00527F00"/>
    <w:rsid w:val="00583F1D"/>
    <w:rsid w:val="005902E8"/>
    <w:rsid w:val="00644315"/>
    <w:rsid w:val="0065564B"/>
    <w:rsid w:val="00661BE0"/>
    <w:rsid w:val="00672980"/>
    <w:rsid w:val="006756BA"/>
    <w:rsid w:val="006D0444"/>
    <w:rsid w:val="00732A3A"/>
    <w:rsid w:val="00733B40"/>
    <w:rsid w:val="007742A3"/>
    <w:rsid w:val="00790ADA"/>
    <w:rsid w:val="007E5A1B"/>
    <w:rsid w:val="00806260"/>
    <w:rsid w:val="00821438"/>
    <w:rsid w:val="00854947"/>
    <w:rsid w:val="008561CA"/>
    <w:rsid w:val="00861A99"/>
    <w:rsid w:val="00877358"/>
    <w:rsid w:val="00893723"/>
    <w:rsid w:val="008A6AFA"/>
    <w:rsid w:val="008B7D1C"/>
    <w:rsid w:val="008E43AB"/>
    <w:rsid w:val="009038B8"/>
    <w:rsid w:val="00905BE0"/>
    <w:rsid w:val="00935D10"/>
    <w:rsid w:val="00AE3169"/>
    <w:rsid w:val="00B07B51"/>
    <w:rsid w:val="00B82D57"/>
    <w:rsid w:val="00B919ED"/>
    <w:rsid w:val="00B97949"/>
    <w:rsid w:val="00BB00C1"/>
    <w:rsid w:val="00BB20E5"/>
    <w:rsid w:val="00BC1CDC"/>
    <w:rsid w:val="00BC3D1C"/>
    <w:rsid w:val="00C01128"/>
    <w:rsid w:val="00C36DC2"/>
    <w:rsid w:val="00C51867"/>
    <w:rsid w:val="00C7204A"/>
    <w:rsid w:val="00C76427"/>
    <w:rsid w:val="00CF1501"/>
    <w:rsid w:val="00CF67CF"/>
    <w:rsid w:val="00D206C9"/>
    <w:rsid w:val="00D27007"/>
    <w:rsid w:val="00D33A27"/>
    <w:rsid w:val="00D33C9B"/>
    <w:rsid w:val="00D53B3A"/>
    <w:rsid w:val="00D71BC9"/>
    <w:rsid w:val="00DD163B"/>
    <w:rsid w:val="00E95063"/>
    <w:rsid w:val="00ED09AA"/>
    <w:rsid w:val="00F50F38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B1950-6BD3-413F-8874-9260761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paragraph" w:styleId="Naslov1">
    <w:name w:val="heading 1"/>
    <w:basedOn w:val="Normal"/>
    <w:uiPriority w:val="1"/>
    <w:qFormat/>
    <w:pPr>
      <w:ind w:left="1094" w:right="1096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25D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D67"/>
    <w:rPr>
      <w:rFonts w:ascii="Segoe UI" w:eastAsia="Arial" w:hAnsi="Segoe UI" w:cs="Segoe UI"/>
      <w:sz w:val="18"/>
      <w:szCs w:val="18"/>
      <w:lang w:val="bs-Latn"/>
    </w:rPr>
  </w:style>
  <w:style w:type="character" w:styleId="Hiperveza">
    <w:name w:val="Hyperlink"/>
    <w:basedOn w:val="Zadanifontodlomka"/>
    <w:uiPriority w:val="99"/>
    <w:semiHidden/>
    <w:unhideWhenUsed/>
    <w:rsid w:val="0073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Cakovec</dc:creator>
  <cp:keywords/>
  <dc:description/>
  <cp:lastModifiedBy>Mateja Novak</cp:lastModifiedBy>
  <cp:revision>8</cp:revision>
  <cp:lastPrinted>2024-06-05T08:46:00Z</cp:lastPrinted>
  <dcterms:created xsi:type="dcterms:W3CDTF">2024-05-15T08:58:00Z</dcterms:created>
  <dcterms:modified xsi:type="dcterms:W3CDTF">2024-06-05T08:47:00Z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