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BFB6" w14:textId="49A2B73E" w:rsidR="00FF4E74" w:rsidRPr="00230BDF" w:rsidRDefault="00230BDF" w:rsidP="00FF4E74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230BDF">
        <w:rPr>
          <w:rFonts w:eastAsia="Calibri"/>
          <w:b/>
          <w:bCs/>
          <w:sz w:val="22"/>
          <w:szCs w:val="22"/>
        </w:rPr>
        <w:t xml:space="preserve">OPIS POSLOVA, PODACI O PLAĆI, NAČIN OBAVLJANJA PRETHODNE PROVJERE ZNANJA I SPOSOBNOSTI KANDIDATA, PODRUČJE PROVJERE TE PRAVNI I DRUGI IZVORI ZA PRIPREMANJE KANDIDATA ZA PROVJERU ZNANJA I SPOSOBNOSTI </w:t>
      </w:r>
    </w:p>
    <w:p w14:paraId="4B949B02" w14:textId="77777777" w:rsidR="00FF4E74" w:rsidRDefault="00FF4E74" w:rsidP="00FF4E74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14:paraId="7B91370E" w14:textId="77777777" w:rsidR="009F5952" w:rsidRPr="009F5952" w:rsidRDefault="009F5952" w:rsidP="009F5952">
      <w:pPr>
        <w:shd w:val="clear" w:color="auto" w:fill="FFFFFF"/>
        <w:spacing w:line="384" w:lineRule="atLeast"/>
        <w:jc w:val="center"/>
        <w:rPr>
          <w:rFonts w:eastAsia="Calibri"/>
          <w:b/>
          <w:sz w:val="22"/>
          <w:szCs w:val="22"/>
        </w:rPr>
      </w:pPr>
      <w:r w:rsidRPr="009F5952">
        <w:rPr>
          <w:rFonts w:eastAsia="Calibri"/>
          <w:b/>
          <w:sz w:val="22"/>
          <w:szCs w:val="22"/>
        </w:rPr>
        <w:t>za prijam u službu namještenika na određeno vrijeme u</w:t>
      </w:r>
    </w:p>
    <w:p w14:paraId="0CFA0D06" w14:textId="77777777" w:rsidR="009F5952" w:rsidRPr="009F5952" w:rsidRDefault="009F5952" w:rsidP="009F5952">
      <w:pPr>
        <w:shd w:val="clear" w:color="auto" w:fill="FFFFFF"/>
        <w:spacing w:line="384" w:lineRule="atLeast"/>
        <w:jc w:val="center"/>
        <w:rPr>
          <w:rFonts w:eastAsia="Calibri"/>
          <w:b/>
          <w:sz w:val="22"/>
          <w:szCs w:val="22"/>
        </w:rPr>
      </w:pPr>
      <w:r w:rsidRPr="009F5952">
        <w:rPr>
          <w:rFonts w:eastAsia="Calibri"/>
          <w:b/>
          <w:sz w:val="22"/>
          <w:szCs w:val="22"/>
        </w:rPr>
        <w:t xml:space="preserve">Jedinstveni upravni odjel Općine Vidovec na radno mjesto </w:t>
      </w:r>
    </w:p>
    <w:p w14:paraId="4EBB66C4" w14:textId="4489E14F" w:rsidR="008D1B82" w:rsidRDefault="009F5952" w:rsidP="009F5952">
      <w:pPr>
        <w:shd w:val="clear" w:color="auto" w:fill="FFFFFF"/>
        <w:spacing w:line="384" w:lineRule="atLeast"/>
        <w:jc w:val="center"/>
        <w:rPr>
          <w:rFonts w:ascii="pt-serif" w:eastAsia="Calibri" w:hAnsi="pt-serif"/>
          <w:b/>
          <w:bCs/>
          <w:sz w:val="22"/>
          <w:szCs w:val="22"/>
        </w:rPr>
      </w:pPr>
      <w:r w:rsidRPr="009F5952">
        <w:rPr>
          <w:rFonts w:eastAsia="Calibri"/>
          <w:b/>
          <w:sz w:val="22"/>
          <w:szCs w:val="22"/>
        </w:rPr>
        <w:t>SPREMAČ/SPREMAČICA</w:t>
      </w:r>
      <w:r w:rsidRPr="009F5952">
        <w:rPr>
          <w:rFonts w:ascii="pt-serif" w:eastAsia="Calibri" w:hAnsi="pt-serif"/>
          <w:b/>
          <w:bCs/>
          <w:sz w:val="22"/>
          <w:szCs w:val="22"/>
        </w:rPr>
        <w:t xml:space="preserve"> </w:t>
      </w:r>
    </w:p>
    <w:p w14:paraId="708DE1E8" w14:textId="0E208349" w:rsidR="009F5952" w:rsidRPr="008D1B82" w:rsidRDefault="009F5952" w:rsidP="009F5952">
      <w:pPr>
        <w:shd w:val="clear" w:color="auto" w:fill="FFFFFF"/>
        <w:spacing w:line="384" w:lineRule="atLeast"/>
        <w:jc w:val="center"/>
        <w:rPr>
          <w:rFonts w:ascii="pt-serif" w:hAnsi="pt-serif"/>
          <w:b/>
          <w:bCs/>
          <w:sz w:val="21"/>
          <w:szCs w:val="21"/>
        </w:rPr>
      </w:pPr>
      <w:r w:rsidRPr="00E53813">
        <w:rPr>
          <w:rFonts w:ascii="pt-serif" w:hAnsi="pt-serif"/>
          <w:sz w:val="21"/>
          <w:szCs w:val="21"/>
        </w:rPr>
        <w:t xml:space="preserve">radi zamjene duže vrijeme odsutne </w:t>
      </w:r>
      <w:r>
        <w:rPr>
          <w:rFonts w:ascii="pt-serif" w:hAnsi="pt-serif"/>
          <w:sz w:val="21"/>
          <w:szCs w:val="21"/>
        </w:rPr>
        <w:t>namještenice</w:t>
      </w:r>
      <w:r w:rsidRPr="00E53813">
        <w:rPr>
          <w:rFonts w:ascii="pt-serif" w:hAnsi="pt-serif"/>
          <w:sz w:val="21"/>
          <w:szCs w:val="21"/>
        </w:rPr>
        <w:t xml:space="preserve"> odnosno do povratka </w:t>
      </w:r>
      <w:r>
        <w:rPr>
          <w:rFonts w:ascii="pt-serif" w:hAnsi="pt-serif"/>
          <w:sz w:val="21"/>
          <w:szCs w:val="21"/>
        </w:rPr>
        <w:t>namještenice</w:t>
      </w:r>
      <w:r w:rsidRPr="00E53813">
        <w:rPr>
          <w:rFonts w:ascii="pt-serif" w:hAnsi="pt-serif"/>
          <w:sz w:val="21"/>
          <w:szCs w:val="21"/>
        </w:rPr>
        <w:t xml:space="preserve"> s rodiljnog i/ili roditeljskog dopusta </w:t>
      </w:r>
      <w:r w:rsidRPr="00584933">
        <w:rPr>
          <w:rFonts w:ascii="pt-serif" w:hAnsi="pt-serif"/>
          <w:sz w:val="21"/>
          <w:szCs w:val="21"/>
        </w:rPr>
        <w:t>u Jedinstveni upravni odjel Općine Vidovec</w:t>
      </w:r>
    </w:p>
    <w:p w14:paraId="6502C379" w14:textId="77777777" w:rsidR="006D751A" w:rsidRPr="009D3197" w:rsidRDefault="006D751A" w:rsidP="006D751A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65C502C9" w14:textId="59A5CEAF" w:rsidR="006D751A" w:rsidRPr="009D3197" w:rsidRDefault="005202D3" w:rsidP="006D751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Na temelju članka 29. </w:t>
      </w:r>
      <w:r w:rsidR="006D751A" w:rsidRPr="009D3197">
        <w:rPr>
          <w:rFonts w:eastAsia="Calibri"/>
          <w:sz w:val="22"/>
          <w:szCs w:val="22"/>
        </w:rPr>
        <w:t>Zakona o službenicima i namještenicima u lokalnoj i područnoj (regionalnoj) samoupravi („Narodne novine“, broj 86/08, 61/11</w:t>
      </w:r>
      <w:r w:rsidR="00230BDF">
        <w:rPr>
          <w:rFonts w:eastAsia="Calibri"/>
          <w:sz w:val="22"/>
          <w:szCs w:val="22"/>
        </w:rPr>
        <w:t xml:space="preserve">, </w:t>
      </w:r>
      <w:r w:rsidR="006D751A" w:rsidRPr="009D3197">
        <w:rPr>
          <w:rFonts w:eastAsia="Calibri"/>
          <w:sz w:val="22"/>
          <w:szCs w:val="22"/>
        </w:rPr>
        <w:t>04/18</w:t>
      </w:r>
      <w:r w:rsidR="00230BDF">
        <w:rPr>
          <w:rFonts w:eastAsia="Calibri"/>
          <w:sz w:val="22"/>
          <w:szCs w:val="22"/>
        </w:rPr>
        <w:t xml:space="preserve"> i 112/19</w:t>
      </w:r>
      <w:r w:rsidR="009E6C72">
        <w:rPr>
          <w:rFonts w:eastAsia="Calibri"/>
          <w:sz w:val="22"/>
          <w:szCs w:val="22"/>
        </w:rPr>
        <w:t xml:space="preserve">), </w:t>
      </w:r>
      <w:r w:rsidR="006D751A" w:rsidRPr="009D3197">
        <w:rPr>
          <w:rFonts w:eastAsia="Calibri"/>
          <w:sz w:val="22"/>
          <w:szCs w:val="22"/>
        </w:rPr>
        <w:t xml:space="preserve">pročelnica Jedinstvenog </w:t>
      </w:r>
      <w:r w:rsidR="006D751A" w:rsidRPr="009E6C72">
        <w:rPr>
          <w:rFonts w:eastAsia="Calibri"/>
          <w:sz w:val="22"/>
          <w:szCs w:val="22"/>
        </w:rPr>
        <w:t xml:space="preserve">upravnog odjela raspisala je </w:t>
      </w:r>
      <w:r w:rsidR="00223CBF">
        <w:rPr>
          <w:rFonts w:eastAsia="Calibri"/>
          <w:sz w:val="22"/>
          <w:szCs w:val="22"/>
        </w:rPr>
        <w:t xml:space="preserve">oglas </w:t>
      </w:r>
      <w:r w:rsidR="006D751A" w:rsidRPr="009E6C72">
        <w:rPr>
          <w:rFonts w:eastAsia="Calibri"/>
          <w:sz w:val="22"/>
          <w:szCs w:val="22"/>
        </w:rPr>
        <w:t xml:space="preserve">za prijam u službu </w:t>
      </w:r>
    </w:p>
    <w:p w14:paraId="05FBE4C1" w14:textId="77777777" w:rsidR="009F5952" w:rsidRPr="008D1B82" w:rsidRDefault="009F5952" w:rsidP="009F5952">
      <w:pPr>
        <w:shd w:val="clear" w:color="auto" w:fill="FFFFFF"/>
        <w:spacing w:line="384" w:lineRule="atLeast"/>
        <w:jc w:val="center"/>
        <w:rPr>
          <w:rFonts w:ascii="pt-serif" w:hAnsi="pt-serif"/>
          <w:b/>
          <w:bCs/>
          <w:sz w:val="21"/>
          <w:szCs w:val="21"/>
        </w:rPr>
      </w:pPr>
      <w:r w:rsidRPr="009F5952">
        <w:rPr>
          <w:rFonts w:eastAsia="Calibri"/>
          <w:b/>
          <w:sz w:val="22"/>
          <w:szCs w:val="22"/>
        </w:rPr>
        <w:t>SPREMAČ/SPREMAČICA</w:t>
      </w:r>
      <w:r w:rsidRPr="009F5952">
        <w:rPr>
          <w:rFonts w:ascii="pt-serif" w:eastAsia="Calibri" w:hAnsi="pt-serif"/>
          <w:b/>
          <w:bCs/>
          <w:sz w:val="22"/>
          <w:szCs w:val="22"/>
        </w:rPr>
        <w:t xml:space="preserve"> </w:t>
      </w:r>
    </w:p>
    <w:p w14:paraId="37B05AD2" w14:textId="77777777" w:rsidR="004735E1" w:rsidRDefault="004735E1" w:rsidP="004735E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735E1">
        <w:rPr>
          <w:rFonts w:eastAsia="Calibri"/>
          <w:b/>
          <w:bCs/>
          <w:sz w:val="22"/>
          <w:szCs w:val="22"/>
          <w:lang w:val="en-US"/>
        </w:rPr>
        <w:t>– 1 izvršitelj/ca</w:t>
      </w:r>
      <w:r w:rsidRPr="004735E1">
        <w:rPr>
          <w:rFonts w:eastAsia="Calibri"/>
          <w:b/>
          <w:bCs/>
          <w:sz w:val="22"/>
          <w:szCs w:val="22"/>
        </w:rPr>
        <w:t>, puno radno vrijeme, uz probni rad od dva (2</w:t>
      </w:r>
      <w:r>
        <w:rPr>
          <w:rFonts w:eastAsia="Calibri"/>
          <w:b/>
          <w:bCs/>
          <w:sz w:val="22"/>
          <w:szCs w:val="22"/>
        </w:rPr>
        <w:t>) mjeseca</w:t>
      </w:r>
    </w:p>
    <w:p w14:paraId="0398FD9D" w14:textId="77777777" w:rsidR="004735E1" w:rsidRPr="004735E1" w:rsidRDefault="004735E1" w:rsidP="004735E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14:paraId="1F4622EA" w14:textId="616D0089" w:rsidR="006D751A" w:rsidRDefault="00281458" w:rsidP="006D751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UPUTE I OBAVIJESTI KANDIDATIMA/</w:t>
      </w:r>
      <w:r w:rsidR="006D751A" w:rsidRPr="009D3197">
        <w:rPr>
          <w:rFonts w:eastAsia="Calibri"/>
          <w:b/>
          <w:bCs/>
          <w:sz w:val="22"/>
          <w:szCs w:val="22"/>
        </w:rPr>
        <w:t xml:space="preserve">KINJAMA </w:t>
      </w:r>
      <w:r w:rsidR="006D751A" w:rsidRPr="009D3197">
        <w:rPr>
          <w:rFonts w:eastAsia="Calibri"/>
          <w:sz w:val="22"/>
          <w:szCs w:val="22"/>
        </w:rPr>
        <w:t>(u daljnjem tekstu: kandidat u odgovarajućem padežu)</w:t>
      </w:r>
    </w:p>
    <w:p w14:paraId="2DBA6FEC" w14:textId="77777777" w:rsidR="004330F6" w:rsidRPr="009D3197" w:rsidRDefault="004330F6" w:rsidP="006D751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791ACED" w14:textId="77777777" w:rsidR="009F5952" w:rsidRPr="009F5952" w:rsidRDefault="009F5952" w:rsidP="009F5952">
      <w:pPr>
        <w:rPr>
          <w:rFonts w:eastAsia="Calibri"/>
          <w:b/>
        </w:rPr>
      </w:pPr>
      <w:r w:rsidRPr="009F5952">
        <w:rPr>
          <w:rFonts w:eastAsia="Calibri"/>
          <w:b/>
        </w:rPr>
        <w:t>Osnovni podaci o radnom mjestu:</w:t>
      </w:r>
    </w:p>
    <w:p w14:paraId="7AA3BB5D" w14:textId="77777777" w:rsidR="009F5952" w:rsidRPr="009F5952" w:rsidRDefault="009F5952" w:rsidP="009F5952">
      <w:pPr>
        <w:rPr>
          <w:rFonts w:eastAsia="Calibri"/>
          <w:b/>
        </w:rPr>
      </w:pPr>
    </w:p>
    <w:p w14:paraId="7657D29F" w14:textId="77777777" w:rsidR="009F5952" w:rsidRPr="009F5952" w:rsidRDefault="009F5952" w:rsidP="009F5952">
      <w:pPr>
        <w:rPr>
          <w:rFonts w:eastAsia="Calibri"/>
          <w:b/>
        </w:rPr>
      </w:pPr>
      <w:r w:rsidRPr="009F5952">
        <w:rPr>
          <w:rFonts w:eastAsia="Calibri"/>
          <w:b/>
        </w:rPr>
        <w:t>Kategorija:</w:t>
      </w:r>
      <w:r w:rsidRPr="009F5952">
        <w:rPr>
          <w:rFonts w:eastAsia="Calibri"/>
          <w:b/>
        </w:rPr>
        <w:tab/>
      </w:r>
      <w:r w:rsidRPr="009F5952">
        <w:rPr>
          <w:rFonts w:eastAsia="Calibri"/>
          <w:b/>
        </w:rPr>
        <w:tab/>
        <w:t>IV.</w:t>
      </w:r>
    </w:p>
    <w:p w14:paraId="22381713" w14:textId="77777777" w:rsidR="009F5952" w:rsidRPr="009F5952" w:rsidRDefault="009F5952" w:rsidP="009F5952">
      <w:pPr>
        <w:rPr>
          <w:rFonts w:eastAsia="Calibri"/>
          <w:b/>
        </w:rPr>
      </w:pPr>
      <w:r w:rsidRPr="009F5952">
        <w:rPr>
          <w:rFonts w:eastAsia="Calibri"/>
          <w:b/>
        </w:rPr>
        <w:t>Potkategorija:</w:t>
      </w:r>
      <w:r w:rsidRPr="009F5952">
        <w:rPr>
          <w:rFonts w:eastAsia="Calibri"/>
          <w:b/>
        </w:rPr>
        <w:tab/>
      </w:r>
      <w:r w:rsidRPr="009F5952">
        <w:rPr>
          <w:rFonts w:eastAsia="Calibri"/>
          <w:b/>
        </w:rPr>
        <w:tab/>
        <w:t>Namještenici II. potkategorije</w:t>
      </w:r>
    </w:p>
    <w:p w14:paraId="5CD9EA60" w14:textId="77777777" w:rsidR="009F5952" w:rsidRPr="009F5952" w:rsidRDefault="009F5952" w:rsidP="009F5952">
      <w:pPr>
        <w:rPr>
          <w:rFonts w:eastAsia="Calibri"/>
          <w:b/>
        </w:rPr>
      </w:pPr>
      <w:r w:rsidRPr="009F5952">
        <w:rPr>
          <w:rFonts w:eastAsia="Calibri"/>
          <w:b/>
        </w:rPr>
        <w:t>Razina:</w:t>
      </w:r>
      <w:r w:rsidRPr="009F5952">
        <w:rPr>
          <w:rFonts w:eastAsia="Calibri"/>
          <w:b/>
        </w:rPr>
        <w:tab/>
      </w:r>
      <w:r w:rsidRPr="009F5952">
        <w:rPr>
          <w:rFonts w:eastAsia="Calibri"/>
          <w:b/>
        </w:rPr>
        <w:tab/>
        <w:t>2. razina</w:t>
      </w:r>
    </w:p>
    <w:p w14:paraId="2F0140BD" w14:textId="77777777" w:rsidR="009F5952" w:rsidRPr="009F5952" w:rsidRDefault="009F5952" w:rsidP="009F5952">
      <w:pPr>
        <w:rPr>
          <w:rFonts w:eastAsia="Calibri"/>
          <w:b/>
        </w:rPr>
      </w:pPr>
      <w:r w:rsidRPr="009F5952">
        <w:rPr>
          <w:rFonts w:eastAsia="Calibri"/>
          <w:b/>
        </w:rPr>
        <w:t>Klasifikacijski rang:</w:t>
      </w:r>
      <w:r w:rsidRPr="009F5952">
        <w:rPr>
          <w:rFonts w:eastAsia="Calibri"/>
          <w:b/>
        </w:rPr>
        <w:tab/>
        <w:t>13</w:t>
      </w:r>
    </w:p>
    <w:p w14:paraId="5E1D60A9" w14:textId="77777777" w:rsidR="009F5952" w:rsidRPr="009F5952" w:rsidRDefault="009F5952" w:rsidP="009F5952">
      <w:pPr>
        <w:rPr>
          <w:rFonts w:eastAsia="Calibri"/>
          <w:b/>
        </w:rPr>
      </w:pPr>
      <w:r w:rsidRPr="009F5952">
        <w:rPr>
          <w:rFonts w:eastAsia="Calibri"/>
          <w:b/>
        </w:rPr>
        <w:t xml:space="preserve">Naziv: </w:t>
      </w:r>
      <w:r w:rsidRPr="009F5952">
        <w:rPr>
          <w:rFonts w:eastAsia="Calibri"/>
          <w:b/>
        </w:rPr>
        <w:tab/>
      </w:r>
      <w:r w:rsidRPr="009F5952">
        <w:rPr>
          <w:rFonts w:eastAsia="Calibri"/>
          <w:b/>
        </w:rPr>
        <w:tab/>
      </w:r>
      <w:r w:rsidRPr="009F5952">
        <w:rPr>
          <w:rFonts w:eastAsia="Calibri"/>
          <w:b/>
        </w:rPr>
        <w:tab/>
        <w:t>SPREMAČICA</w:t>
      </w:r>
    </w:p>
    <w:p w14:paraId="2812109B" w14:textId="77777777" w:rsidR="009F5952" w:rsidRPr="009F5952" w:rsidRDefault="009F5952" w:rsidP="009F5952">
      <w:pPr>
        <w:rPr>
          <w:rFonts w:eastAsia="Calibri"/>
          <w:b/>
        </w:rPr>
      </w:pPr>
    </w:p>
    <w:p w14:paraId="5813E2A6" w14:textId="77777777" w:rsidR="009F5952" w:rsidRPr="009F5952" w:rsidRDefault="009F5952" w:rsidP="009F5952">
      <w:pPr>
        <w:rPr>
          <w:b/>
        </w:rPr>
      </w:pPr>
      <w:r w:rsidRPr="009F5952">
        <w:rPr>
          <w:b/>
        </w:rPr>
        <w:t>Stručno znanje:</w:t>
      </w:r>
    </w:p>
    <w:p w14:paraId="0DEADA11" w14:textId="77777777" w:rsidR="009F5952" w:rsidRPr="009F5952" w:rsidRDefault="009F5952" w:rsidP="009F5952">
      <w:pPr>
        <w:rPr>
          <w:bCs/>
        </w:rPr>
      </w:pPr>
      <w:r w:rsidRPr="009F5952">
        <w:rPr>
          <w:b/>
        </w:rPr>
        <w:t xml:space="preserve">                 -    </w:t>
      </w:r>
      <w:r w:rsidRPr="009F5952">
        <w:rPr>
          <w:bCs/>
        </w:rPr>
        <w:t xml:space="preserve">niža stručna sprema ili osnovna škola </w:t>
      </w:r>
    </w:p>
    <w:p w14:paraId="05BC76E6" w14:textId="77777777" w:rsidR="009F5952" w:rsidRPr="009F5952" w:rsidRDefault="009F5952" w:rsidP="009F5952">
      <w:pPr>
        <w:rPr>
          <w:bCs/>
        </w:rPr>
      </w:pPr>
    </w:p>
    <w:p w14:paraId="2A2A1C4A" w14:textId="77777777" w:rsidR="009F5952" w:rsidRPr="009F5952" w:rsidRDefault="009F5952" w:rsidP="009F5952">
      <w:pPr>
        <w:rPr>
          <w:b/>
          <w:bCs/>
        </w:rPr>
      </w:pPr>
      <w:r w:rsidRPr="009F5952">
        <w:rPr>
          <w:b/>
          <w:bCs/>
        </w:rPr>
        <w:t>Stupanj složenosti:</w:t>
      </w:r>
    </w:p>
    <w:p w14:paraId="2C8C0858" w14:textId="77777777" w:rsidR="009F5952" w:rsidRPr="009F5952" w:rsidRDefault="009F5952" w:rsidP="009F5952">
      <w:pPr>
        <w:rPr>
          <w:bCs/>
        </w:rPr>
      </w:pPr>
      <w:r w:rsidRPr="009F5952">
        <w:rPr>
          <w:bCs/>
        </w:rPr>
        <w:tab/>
        <w:t>- stupanj složenosti koji uključuje jednostavne i standardizirane pomoćno – tehničke poslove</w:t>
      </w:r>
    </w:p>
    <w:p w14:paraId="1328DA0F" w14:textId="77777777" w:rsidR="009F5952" w:rsidRPr="009F5952" w:rsidRDefault="009F5952" w:rsidP="009F5952">
      <w:pPr>
        <w:rPr>
          <w:bCs/>
        </w:rPr>
      </w:pPr>
    </w:p>
    <w:p w14:paraId="21422CDF" w14:textId="77777777" w:rsidR="009F5952" w:rsidRPr="009F5952" w:rsidRDefault="009F5952" w:rsidP="009F5952">
      <w:pPr>
        <w:rPr>
          <w:b/>
          <w:bCs/>
        </w:rPr>
      </w:pPr>
      <w:r w:rsidRPr="009F5952">
        <w:rPr>
          <w:b/>
          <w:bCs/>
        </w:rPr>
        <w:t>Stupanj odgovornosti:</w:t>
      </w:r>
    </w:p>
    <w:p w14:paraId="02C01C11" w14:textId="77777777" w:rsidR="009F5952" w:rsidRPr="009F5952" w:rsidRDefault="009F5952" w:rsidP="009F5952">
      <w:pPr>
        <w:rPr>
          <w:bCs/>
        </w:rPr>
      </w:pPr>
      <w:r w:rsidRPr="009F5952">
        <w:rPr>
          <w:b/>
          <w:bCs/>
        </w:rPr>
        <w:tab/>
      </w:r>
      <w:r w:rsidRPr="009F5952">
        <w:rPr>
          <w:bCs/>
        </w:rPr>
        <w:t>- stupanj odgovornosti koji uključuje odgovornost za materijalne resurse s kojima namještenik radi</w:t>
      </w:r>
    </w:p>
    <w:p w14:paraId="1F015C5E" w14:textId="77777777" w:rsidR="009F5952" w:rsidRPr="009F5952" w:rsidRDefault="009F5952" w:rsidP="009F5952">
      <w:pPr>
        <w:rPr>
          <w:bCs/>
        </w:rPr>
      </w:pPr>
    </w:p>
    <w:p w14:paraId="124151BA" w14:textId="77777777" w:rsidR="009F5952" w:rsidRPr="009F5952" w:rsidRDefault="009F5952" w:rsidP="009F5952">
      <w:pPr>
        <w:rPr>
          <w:bCs/>
        </w:rPr>
      </w:pPr>
      <w:r w:rsidRPr="009F5952">
        <w:rPr>
          <w:b/>
        </w:rPr>
        <w:t>Broj izvršitelja: 1</w:t>
      </w:r>
    </w:p>
    <w:p w14:paraId="6EE9134D" w14:textId="77777777" w:rsidR="009F5952" w:rsidRPr="009F5952" w:rsidRDefault="009F5952" w:rsidP="009F5952">
      <w:pPr>
        <w:rPr>
          <w:rFonts w:eastAsia="Calibri"/>
          <w:b/>
        </w:rPr>
      </w:pPr>
    </w:p>
    <w:p w14:paraId="7E965CCA" w14:textId="77777777" w:rsidR="009F5952" w:rsidRPr="009F5952" w:rsidRDefault="009F5952" w:rsidP="009F5952">
      <w:pPr>
        <w:rPr>
          <w:rFonts w:eastAsia="Calibri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9F5952" w:rsidRPr="009F5952" w14:paraId="28D3AC17" w14:textId="77777777" w:rsidTr="00046F31">
        <w:tc>
          <w:tcPr>
            <w:tcW w:w="6487" w:type="dxa"/>
            <w:shd w:val="clear" w:color="auto" w:fill="auto"/>
          </w:tcPr>
          <w:p w14:paraId="6972C045" w14:textId="77777777" w:rsidR="009F5952" w:rsidRPr="009F5952" w:rsidRDefault="009F5952" w:rsidP="00257868">
            <w:pPr>
              <w:jc w:val="center"/>
              <w:rPr>
                <w:b/>
              </w:rPr>
            </w:pPr>
            <w:r w:rsidRPr="009F5952">
              <w:rPr>
                <w:b/>
              </w:rPr>
              <w:t>Poslovi radnog mjesta</w:t>
            </w:r>
          </w:p>
        </w:tc>
        <w:tc>
          <w:tcPr>
            <w:tcW w:w="2693" w:type="dxa"/>
            <w:shd w:val="clear" w:color="auto" w:fill="auto"/>
          </w:tcPr>
          <w:p w14:paraId="7246FFE3" w14:textId="77777777" w:rsidR="009F5952" w:rsidRPr="009F5952" w:rsidRDefault="009F5952" w:rsidP="00257868">
            <w:pPr>
              <w:jc w:val="center"/>
              <w:rPr>
                <w:b/>
              </w:rPr>
            </w:pPr>
            <w:r w:rsidRPr="009F5952">
              <w:rPr>
                <w:b/>
              </w:rPr>
              <w:t>Približan postotak vremena  potreban za obavljanje pojedinog posla</w:t>
            </w:r>
          </w:p>
        </w:tc>
      </w:tr>
      <w:tr w:rsidR="009F5952" w:rsidRPr="009F5952" w14:paraId="526169AF" w14:textId="77777777" w:rsidTr="00046F31">
        <w:tc>
          <w:tcPr>
            <w:tcW w:w="6487" w:type="dxa"/>
            <w:shd w:val="clear" w:color="auto" w:fill="auto"/>
          </w:tcPr>
          <w:p w14:paraId="5B7DB550" w14:textId="77777777" w:rsidR="009F5952" w:rsidRPr="009F5952" w:rsidRDefault="009F5952" w:rsidP="00257868">
            <w:pPr>
              <w:jc w:val="both"/>
              <w:rPr>
                <w:b/>
              </w:rPr>
            </w:pPr>
            <w:r w:rsidRPr="009F5952">
              <w:rPr>
                <w:rFonts w:eastAsia="Calibri"/>
              </w:rPr>
              <w:t>Čišćenje i higijensko održavanje općinskih prostorija (kancelarija, vijećnice, sobe za sastanke, stepeništa, hodnika, sanitarnog čvora, ulaza u općinsku zgradu  te prostora ispred općinske zgrade) te briga o okolišu oko općinske zgrade</w:t>
            </w:r>
          </w:p>
        </w:tc>
        <w:tc>
          <w:tcPr>
            <w:tcW w:w="2693" w:type="dxa"/>
            <w:shd w:val="clear" w:color="auto" w:fill="auto"/>
          </w:tcPr>
          <w:p w14:paraId="00A1986E" w14:textId="77777777" w:rsidR="009F5952" w:rsidRPr="009F5952" w:rsidRDefault="009F5952" w:rsidP="00257868">
            <w:pPr>
              <w:jc w:val="center"/>
            </w:pPr>
            <w:r w:rsidRPr="009F5952">
              <w:t>30</w:t>
            </w:r>
          </w:p>
        </w:tc>
      </w:tr>
      <w:tr w:rsidR="009F5952" w:rsidRPr="009F5952" w14:paraId="70DCF315" w14:textId="77777777" w:rsidTr="00046F31">
        <w:tc>
          <w:tcPr>
            <w:tcW w:w="6487" w:type="dxa"/>
            <w:shd w:val="clear" w:color="auto" w:fill="auto"/>
          </w:tcPr>
          <w:p w14:paraId="7E20417A" w14:textId="77777777" w:rsidR="009F5952" w:rsidRPr="009F5952" w:rsidRDefault="009F5952" w:rsidP="00257868">
            <w:pPr>
              <w:rPr>
                <w:rFonts w:eastAsia="Calibri"/>
              </w:rPr>
            </w:pPr>
            <w:r w:rsidRPr="009F5952">
              <w:rPr>
                <w:rFonts w:eastAsia="Calibri"/>
              </w:rPr>
              <w:t>Čišćenje i higijensko održavanje prostorija društvenih domova na području Općine Vidovec te etno kuće u Domitrovcu - KITEC</w:t>
            </w:r>
          </w:p>
        </w:tc>
        <w:tc>
          <w:tcPr>
            <w:tcW w:w="2693" w:type="dxa"/>
            <w:shd w:val="clear" w:color="auto" w:fill="auto"/>
          </w:tcPr>
          <w:p w14:paraId="367CE7FF" w14:textId="77777777" w:rsidR="009F5952" w:rsidRPr="009F5952" w:rsidRDefault="009F5952" w:rsidP="00257868">
            <w:pPr>
              <w:jc w:val="center"/>
            </w:pPr>
            <w:r w:rsidRPr="009F5952">
              <w:t>10</w:t>
            </w:r>
          </w:p>
        </w:tc>
      </w:tr>
      <w:tr w:rsidR="009F5952" w:rsidRPr="009F5952" w14:paraId="3B261E04" w14:textId="77777777" w:rsidTr="00046F31">
        <w:tc>
          <w:tcPr>
            <w:tcW w:w="6487" w:type="dxa"/>
            <w:shd w:val="clear" w:color="auto" w:fill="auto"/>
          </w:tcPr>
          <w:p w14:paraId="67665779" w14:textId="77777777" w:rsidR="009F5952" w:rsidRPr="009F5952" w:rsidRDefault="009F5952" w:rsidP="00257868">
            <w:pPr>
              <w:rPr>
                <w:rFonts w:eastAsia="Calibri"/>
              </w:rPr>
            </w:pPr>
            <w:r w:rsidRPr="009F5952">
              <w:rPr>
                <w:rFonts w:eastAsia="Calibri"/>
              </w:rPr>
              <w:t>Briga o čistoći  prozora, namještaja, uredske opreme</w:t>
            </w:r>
          </w:p>
        </w:tc>
        <w:tc>
          <w:tcPr>
            <w:tcW w:w="2693" w:type="dxa"/>
            <w:shd w:val="clear" w:color="auto" w:fill="auto"/>
          </w:tcPr>
          <w:p w14:paraId="5C36BE0F" w14:textId="77777777" w:rsidR="009F5952" w:rsidRPr="009F5952" w:rsidRDefault="009F5952" w:rsidP="00257868">
            <w:pPr>
              <w:jc w:val="center"/>
            </w:pPr>
            <w:r w:rsidRPr="009F5952">
              <w:t>20</w:t>
            </w:r>
          </w:p>
        </w:tc>
      </w:tr>
      <w:tr w:rsidR="009F5952" w:rsidRPr="009F5952" w14:paraId="504A5499" w14:textId="77777777" w:rsidTr="00046F31">
        <w:tc>
          <w:tcPr>
            <w:tcW w:w="6487" w:type="dxa"/>
            <w:shd w:val="clear" w:color="auto" w:fill="auto"/>
          </w:tcPr>
          <w:p w14:paraId="405A4DC1" w14:textId="77777777" w:rsidR="009F5952" w:rsidRPr="009F5952" w:rsidRDefault="009F5952" w:rsidP="00257868">
            <w:pPr>
              <w:jc w:val="both"/>
            </w:pPr>
            <w:r w:rsidRPr="009F5952">
              <w:rPr>
                <w:rFonts w:eastAsia="Calibri"/>
              </w:rPr>
              <w:t>Održavanje i briga o zelenim površinama, cvjetnjacima i presadnicama ispred i u okolini zgrade Općine te na drugim javnim površinama, zalijevanje cvijeća i ostalog bilja</w:t>
            </w:r>
          </w:p>
        </w:tc>
        <w:tc>
          <w:tcPr>
            <w:tcW w:w="2693" w:type="dxa"/>
            <w:shd w:val="clear" w:color="auto" w:fill="auto"/>
          </w:tcPr>
          <w:p w14:paraId="6365B7D5" w14:textId="77777777" w:rsidR="009F5952" w:rsidRPr="009F5952" w:rsidRDefault="009F5952" w:rsidP="00257868">
            <w:pPr>
              <w:jc w:val="center"/>
            </w:pPr>
            <w:r w:rsidRPr="009F5952">
              <w:t>30</w:t>
            </w:r>
          </w:p>
        </w:tc>
      </w:tr>
      <w:tr w:rsidR="009F5952" w:rsidRPr="009F5952" w14:paraId="790973D8" w14:textId="77777777" w:rsidTr="00046F31">
        <w:tc>
          <w:tcPr>
            <w:tcW w:w="6487" w:type="dxa"/>
            <w:shd w:val="clear" w:color="auto" w:fill="auto"/>
          </w:tcPr>
          <w:p w14:paraId="4E9C52D7" w14:textId="77777777" w:rsidR="009F5952" w:rsidRPr="009F5952" w:rsidRDefault="009F5952" w:rsidP="00257868">
            <w:pPr>
              <w:jc w:val="both"/>
            </w:pPr>
            <w:r w:rsidRPr="009F5952">
              <w:t xml:space="preserve">Obavlja i druge poslove po nalogu pročelnika Jedinstvenog upravnog odjela </w:t>
            </w:r>
          </w:p>
        </w:tc>
        <w:tc>
          <w:tcPr>
            <w:tcW w:w="2693" w:type="dxa"/>
            <w:shd w:val="clear" w:color="auto" w:fill="auto"/>
          </w:tcPr>
          <w:p w14:paraId="5E22D31A" w14:textId="77777777" w:rsidR="009F5952" w:rsidRPr="009F5952" w:rsidRDefault="009F5952" w:rsidP="00257868">
            <w:pPr>
              <w:jc w:val="center"/>
            </w:pPr>
            <w:r w:rsidRPr="009F5952">
              <w:t>10</w:t>
            </w:r>
          </w:p>
        </w:tc>
      </w:tr>
      <w:tr w:rsidR="004330F6" w:rsidRPr="009F5952" w14:paraId="3B080DD1" w14:textId="77777777" w:rsidTr="00046F31">
        <w:tc>
          <w:tcPr>
            <w:tcW w:w="6487" w:type="dxa"/>
            <w:shd w:val="clear" w:color="auto" w:fill="auto"/>
          </w:tcPr>
          <w:p w14:paraId="2D0597BE" w14:textId="3C64DD62" w:rsidR="004330F6" w:rsidRPr="009F5952" w:rsidRDefault="004330F6" w:rsidP="00FC1F48">
            <w:pPr>
              <w:jc w:val="both"/>
            </w:pPr>
            <w:r w:rsidRPr="009F5952">
              <w:t>Sudjelovanje u dežurstvima, pripravnosti, manifestacijama, akcijama otklanjanja elementarnih i drugih nepogoda</w:t>
            </w:r>
          </w:p>
        </w:tc>
        <w:tc>
          <w:tcPr>
            <w:tcW w:w="2693" w:type="dxa"/>
            <w:shd w:val="clear" w:color="auto" w:fill="auto"/>
          </w:tcPr>
          <w:p w14:paraId="4A9B1882" w14:textId="77777777" w:rsidR="004330F6" w:rsidRPr="009F5952" w:rsidRDefault="004330F6" w:rsidP="00FC1F48">
            <w:pPr>
              <w:jc w:val="center"/>
            </w:pPr>
            <w:r w:rsidRPr="009F5952">
              <w:t>5</w:t>
            </w:r>
          </w:p>
        </w:tc>
      </w:tr>
      <w:tr w:rsidR="004330F6" w:rsidRPr="009F5952" w14:paraId="7988E6F5" w14:textId="77777777" w:rsidTr="00046F31">
        <w:tc>
          <w:tcPr>
            <w:tcW w:w="6487" w:type="dxa"/>
            <w:shd w:val="clear" w:color="auto" w:fill="auto"/>
          </w:tcPr>
          <w:p w14:paraId="3F06D58E" w14:textId="048DCC3A" w:rsidR="004330F6" w:rsidRPr="009F5952" w:rsidRDefault="004330F6" w:rsidP="00FC1F48">
            <w:pPr>
              <w:jc w:val="both"/>
            </w:pPr>
            <w:r w:rsidRPr="009F5952">
              <w:lastRenderedPageBreak/>
              <w:t>Čišćenje površina oko autobusnih nadstrešnica i čišćenje samih nadstrešnica</w:t>
            </w:r>
          </w:p>
        </w:tc>
        <w:tc>
          <w:tcPr>
            <w:tcW w:w="2693" w:type="dxa"/>
            <w:shd w:val="clear" w:color="auto" w:fill="auto"/>
          </w:tcPr>
          <w:p w14:paraId="043B7F22" w14:textId="77777777" w:rsidR="004330F6" w:rsidRPr="009F5952" w:rsidRDefault="004330F6" w:rsidP="00FC1F48">
            <w:pPr>
              <w:jc w:val="center"/>
            </w:pPr>
            <w:r w:rsidRPr="009F5952">
              <w:t>5</w:t>
            </w:r>
          </w:p>
        </w:tc>
      </w:tr>
      <w:tr w:rsidR="004330F6" w:rsidRPr="009F5952" w14:paraId="1EE18053" w14:textId="77777777" w:rsidTr="00046F31">
        <w:tc>
          <w:tcPr>
            <w:tcW w:w="6487" w:type="dxa"/>
            <w:shd w:val="clear" w:color="auto" w:fill="auto"/>
          </w:tcPr>
          <w:p w14:paraId="14113A45" w14:textId="77777777" w:rsidR="004330F6" w:rsidRPr="009F5952" w:rsidRDefault="004330F6" w:rsidP="00FC1F48">
            <w:pPr>
              <w:jc w:val="both"/>
            </w:pPr>
            <w:r w:rsidRPr="009F5952">
              <w:rPr>
                <w:rFonts w:eastAsia="Calibri"/>
              </w:rPr>
              <w:t>Poslovi zimskog čišćenja i održavanja javnih površina u slučajevima vremenskih neprilika</w:t>
            </w:r>
          </w:p>
        </w:tc>
        <w:tc>
          <w:tcPr>
            <w:tcW w:w="2693" w:type="dxa"/>
            <w:shd w:val="clear" w:color="auto" w:fill="auto"/>
          </w:tcPr>
          <w:p w14:paraId="73F526E1" w14:textId="77777777" w:rsidR="004330F6" w:rsidRPr="009F5952" w:rsidRDefault="004330F6" w:rsidP="00FC1F48">
            <w:pPr>
              <w:jc w:val="center"/>
            </w:pPr>
            <w:r w:rsidRPr="009F5952">
              <w:t>5</w:t>
            </w:r>
          </w:p>
        </w:tc>
      </w:tr>
      <w:tr w:rsidR="004330F6" w:rsidRPr="009F5952" w14:paraId="5B80A219" w14:textId="77777777" w:rsidTr="00046F31">
        <w:tc>
          <w:tcPr>
            <w:tcW w:w="6487" w:type="dxa"/>
            <w:shd w:val="clear" w:color="auto" w:fill="auto"/>
          </w:tcPr>
          <w:p w14:paraId="4C04A9EC" w14:textId="77777777" w:rsidR="004330F6" w:rsidRPr="009F5952" w:rsidRDefault="004330F6" w:rsidP="00FC1F48">
            <w:pPr>
              <w:jc w:val="both"/>
              <w:rPr>
                <w:rFonts w:eastAsia="Calibri"/>
              </w:rPr>
            </w:pPr>
            <w:r w:rsidRPr="009F5952">
              <w:t>Obavlja i druge poslove po nalogu pročelnika Jedinstvenog upravnog odjela te sukladno smjernicama i uputama općinskog načelnika</w:t>
            </w:r>
          </w:p>
        </w:tc>
        <w:tc>
          <w:tcPr>
            <w:tcW w:w="2693" w:type="dxa"/>
            <w:shd w:val="clear" w:color="auto" w:fill="auto"/>
          </w:tcPr>
          <w:p w14:paraId="69F79E4B" w14:textId="77777777" w:rsidR="004330F6" w:rsidRPr="009F5952" w:rsidRDefault="004330F6" w:rsidP="00FC1F48">
            <w:pPr>
              <w:jc w:val="center"/>
            </w:pPr>
            <w:r w:rsidRPr="009F5952">
              <w:t>5</w:t>
            </w:r>
          </w:p>
        </w:tc>
      </w:tr>
    </w:tbl>
    <w:p w14:paraId="60B62B4B" w14:textId="77777777" w:rsidR="006D751A" w:rsidRPr="009D3197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u w:val="single"/>
        </w:rPr>
      </w:pPr>
    </w:p>
    <w:p w14:paraId="5C8205E1" w14:textId="77777777" w:rsidR="00C54A71" w:rsidRDefault="00C54A71" w:rsidP="00C54A71"/>
    <w:p w14:paraId="03286D5F" w14:textId="77777777" w:rsidR="006D751A" w:rsidRPr="00C54A71" w:rsidRDefault="00FF4E74" w:rsidP="00C54A71">
      <w:r w:rsidRPr="00FF4E74">
        <w:rPr>
          <w:rFonts w:eastAsia="Calibri"/>
          <w:b/>
          <w:bCs/>
          <w:sz w:val="24"/>
          <w:szCs w:val="24"/>
        </w:rPr>
        <w:t>PODACI O PLAĆI</w:t>
      </w:r>
    </w:p>
    <w:p w14:paraId="40F886D1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u w:val="single"/>
        </w:rPr>
      </w:pPr>
    </w:p>
    <w:p w14:paraId="33430B58" w14:textId="77777777" w:rsidR="002B6ACA" w:rsidRDefault="002B6ACA" w:rsidP="002B6A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B6ACA">
        <w:rPr>
          <w:rFonts w:eastAsia="Calibri"/>
          <w:sz w:val="24"/>
          <w:szCs w:val="24"/>
        </w:rPr>
        <w:t xml:space="preserve">Podaci o plaći radnog mjesta propisani su Odlukom o koeficijentima za obračun plaće službenika i namještenika u Jedinstvenom upravnom odjelu Općine Vidovec („Službeni vjesnik Varaždinske županije“, broj 75/24). </w:t>
      </w:r>
    </w:p>
    <w:p w14:paraId="211DB4BE" w14:textId="77777777" w:rsidR="002B6ACA" w:rsidRPr="002B6ACA" w:rsidRDefault="002B6ACA" w:rsidP="002B6A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E16F10F" w14:textId="4CD80146" w:rsidR="002B6ACA" w:rsidRPr="002B6ACA" w:rsidRDefault="002B6ACA" w:rsidP="002B6A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B6ACA">
        <w:rPr>
          <w:rFonts w:eastAsia="Calibri"/>
          <w:sz w:val="24"/>
          <w:szCs w:val="24"/>
        </w:rPr>
        <w:t xml:space="preserve">Plaću </w:t>
      </w:r>
      <w:r w:rsidR="00172CAE">
        <w:rPr>
          <w:rFonts w:eastAsia="Calibri"/>
          <w:sz w:val="24"/>
          <w:szCs w:val="24"/>
        </w:rPr>
        <w:t>namještenika</w:t>
      </w:r>
      <w:r w:rsidRPr="002B6ACA">
        <w:rPr>
          <w:rFonts w:eastAsia="Calibri"/>
          <w:sz w:val="24"/>
          <w:szCs w:val="24"/>
        </w:rPr>
        <w:t xml:space="preserve"> čini  umnožak  osnovice za obračun plaća i koeficijenta složenosti poslova.</w:t>
      </w:r>
    </w:p>
    <w:p w14:paraId="412A87DE" w14:textId="2AE36B18" w:rsidR="002B6ACA" w:rsidRPr="002B6ACA" w:rsidRDefault="008D1B82" w:rsidP="002B6A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Namještenik</w:t>
      </w:r>
      <w:r w:rsidR="002B6ACA" w:rsidRPr="002B6ACA">
        <w:rPr>
          <w:rFonts w:eastAsia="Calibri"/>
          <w:sz w:val="24"/>
          <w:szCs w:val="24"/>
        </w:rPr>
        <w:t xml:space="preserve"> ostvaruje plaću prema slijedećim kriterijima: </w:t>
      </w:r>
    </w:p>
    <w:p w14:paraId="2E61F2F6" w14:textId="5A19FC64" w:rsidR="008B0E37" w:rsidRPr="008D1B82" w:rsidRDefault="002B6ACA" w:rsidP="008D1B82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D1B82">
        <w:rPr>
          <w:rFonts w:eastAsia="Calibri"/>
          <w:sz w:val="24"/>
          <w:szCs w:val="24"/>
        </w:rPr>
        <w:t xml:space="preserve">koeficijent za obračun plaće iznosi </w:t>
      </w:r>
      <w:r w:rsidR="008D1B82">
        <w:rPr>
          <w:rFonts w:eastAsia="Calibri"/>
          <w:sz w:val="24"/>
          <w:szCs w:val="24"/>
        </w:rPr>
        <w:t>1,</w:t>
      </w:r>
      <w:r w:rsidR="009F5952">
        <w:rPr>
          <w:rFonts w:eastAsia="Calibri"/>
          <w:sz w:val="24"/>
          <w:szCs w:val="24"/>
        </w:rPr>
        <w:t>18</w:t>
      </w:r>
      <w:r w:rsidR="008D1B82">
        <w:rPr>
          <w:rFonts w:eastAsia="Calibri"/>
          <w:sz w:val="24"/>
          <w:szCs w:val="24"/>
        </w:rPr>
        <w:t xml:space="preserve"> </w:t>
      </w:r>
      <w:r w:rsidRPr="008D1B82">
        <w:rPr>
          <w:rFonts w:eastAsia="Calibri"/>
          <w:sz w:val="24"/>
          <w:szCs w:val="24"/>
        </w:rPr>
        <w:t xml:space="preserve">uz osnovicu plaće u bruto iznosu od </w:t>
      </w:r>
      <w:r w:rsidR="008D1B82">
        <w:rPr>
          <w:rFonts w:eastAsia="Calibri"/>
          <w:sz w:val="24"/>
          <w:szCs w:val="24"/>
        </w:rPr>
        <w:t>1.001</w:t>
      </w:r>
      <w:r w:rsidRPr="008D1B82">
        <w:rPr>
          <w:rFonts w:eastAsia="Calibri"/>
          <w:sz w:val="24"/>
          <w:szCs w:val="24"/>
        </w:rPr>
        <w:t>,00 EUR</w:t>
      </w:r>
      <w:r w:rsidR="009E6C72" w:rsidRPr="008D1B82">
        <w:rPr>
          <w:rFonts w:eastAsia="Calibri"/>
          <w:sz w:val="24"/>
          <w:szCs w:val="24"/>
        </w:rPr>
        <w:t>, uvećan za 0,5% za svaku navršenu godinu radnog staža.</w:t>
      </w:r>
    </w:p>
    <w:p w14:paraId="5A313F72" w14:textId="77777777" w:rsidR="004330F6" w:rsidRDefault="004330F6" w:rsidP="006D751A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18EC4EB0" w14:textId="4CA7BE02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E84244">
        <w:rPr>
          <w:rFonts w:eastAsia="Calibri"/>
          <w:b/>
          <w:bCs/>
          <w:sz w:val="24"/>
          <w:szCs w:val="24"/>
        </w:rPr>
        <w:t>UPUTE ZA PRIPREMANJE KANDIDATA ZA TESTIRANJE</w:t>
      </w:r>
    </w:p>
    <w:p w14:paraId="3C9382D1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020E4D58" w14:textId="37CCFE6B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E84244">
        <w:rPr>
          <w:rFonts w:eastAsia="Calibri"/>
          <w:b/>
          <w:bCs/>
          <w:sz w:val="24"/>
          <w:szCs w:val="24"/>
        </w:rPr>
        <w:t xml:space="preserve">Provjera znanja i sposobnosti bitnih za obavljanje poslova radnog mjesta </w:t>
      </w:r>
      <w:r w:rsidR="00046F31">
        <w:rPr>
          <w:rFonts w:eastAsia="Calibri"/>
          <w:b/>
          <w:sz w:val="24"/>
          <w:szCs w:val="24"/>
        </w:rPr>
        <w:t>spremač/spremačica</w:t>
      </w:r>
      <w:r w:rsidRPr="00E84244">
        <w:rPr>
          <w:rFonts w:eastAsia="Calibri"/>
          <w:b/>
          <w:bCs/>
          <w:sz w:val="24"/>
          <w:szCs w:val="24"/>
        </w:rPr>
        <w:t xml:space="preserve"> - pismena provjera znanja</w:t>
      </w:r>
    </w:p>
    <w:p w14:paraId="79B9CC08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7D54F69" w14:textId="77777777" w:rsidR="005202D3" w:rsidRDefault="005202D3" w:rsidP="005202D3">
      <w:pPr>
        <w:spacing w:line="276" w:lineRule="auto"/>
        <w:rPr>
          <w:b/>
          <w:bCs/>
          <w:sz w:val="24"/>
          <w:szCs w:val="24"/>
        </w:rPr>
      </w:pPr>
      <w:r w:rsidRPr="005202D3">
        <w:rPr>
          <w:b/>
          <w:bCs/>
          <w:sz w:val="24"/>
          <w:szCs w:val="24"/>
        </w:rPr>
        <w:t>PRAVNI I DRUGI IZVORI ZA PRIPREMANJE KANDIDATA ZA TESTIRANJE</w:t>
      </w:r>
    </w:p>
    <w:p w14:paraId="1B9C0428" w14:textId="77777777" w:rsidR="004330F6" w:rsidRPr="004330F6" w:rsidRDefault="004330F6" w:rsidP="004330F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B5834F4" w14:textId="77777777" w:rsidR="004330F6" w:rsidRPr="004330F6" w:rsidRDefault="004330F6" w:rsidP="004330F6">
      <w:pPr>
        <w:spacing w:line="276" w:lineRule="auto"/>
        <w:contextualSpacing/>
        <w:jc w:val="both"/>
        <w:rPr>
          <w:b/>
          <w:sz w:val="24"/>
          <w:szCs w:val="24"/>
          <w:u w:val="single"/>
        </w:rPr>
      </w:pPr>
      <w:r w:rsidRPr="004330F6">
        <w:rPr>
          <w:sz w:val="24"/>
          <w:szCs w:val="24"/>
        </w:rPr>
        <w:t xml:space="preserve">Postupak testiranja kandidata za prijam na radno mjesto namještenika za koje je kao stručno znanje utvrđena niža stručna sprema ili osnovna škola provodi se putem pisanog testa iz </w:t>
      </w:r>
      <w:r w:rsidRPr="004330F6">
        <w:rPr>
          <w:b/>
          <w:sz w:val="24"/>
          <w:szCs w:val="24"/>
          <w:u w:val="single"/>
        </w:rPr>
        <w:t>općeg znanja.</w:t>
      </w:r>
    </w:p>
    <w:p w14:paraId="11F4629A" w14:textId="77777777" w:rsidR="004330F6" w:rsidRPr="004330F6" w:rsidRDefault="004330F6" w:rsidP="004330F6">
      <w:pPr>
        <w:spacing w:line="276" w:lineRule="auto"/>
        <w:ind w:left="708"/>
        <w:rPr>
          <w:sz w:val="24"/>
          <w:szCs w:val="24"/>
        </w:rPr>
      </w:pPr>
    </w:p>
    <w:p w14:paraId="1D976092" w14:textId="2B2F5FCF" w:rsidR="004330F6" w:rsidRPr="00230BDF" w:rsidRDefault="004330F6" w:rsidP="00230B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330F6">
        <w:rPr>
          <w:sz w:val="24"/>
          <w:szCs w:val="24"/>
        </w:rPr>
        <w:t xml:space="preserve">Prethodnoj provjeri znanja i sposobnosti kandidata mogu pristupiti samo kandidati koji ispunjavaju formalne uvjete </w:t>
      </w:r>
      <w:r w:rsidR="00230BDF">
        <w:rPr>
          <w:sz w:val="24"/>
          <w:szCs w:val="24"/>
        </w:rPr>
        <w:t>oglasa</w:t>
      </w:r>
      <w:r w:rsidRPr="004330F6">
        <w:rPr>
          <w:sz w:val="24"/>
          <w:szCs w:val="24"/>
        </w:rPr>
        <w:t>.</w:t>
      </w:r>
    </w:p>
    <w:p w14:paraId="16BACAAD" w14:textId="5438AED1" w:rsidR="006D751A" w:rsidRPr="00E84244" w:rsidRDefault="006D751A" w:rsidP="00FF4E7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E84244">
        <w:rPr>
          <w:rFonts w:eastAsia="Calibri"/>
          <w:b/>
          <w:bCs/>
          <w:sz w:val="24"/>
          <w:szCs w:val="24"/>
        </w:rPr>
        <w:t>****</w:t>
      </w:r>
    </w:p>
    <w:p w14:paraId="16FE17C2" w14:textId="77777777" w:rsidR="006D751A" w:rsidRPr="00E84244" w:rsidRDefault="006D751A" w:rsidP="006D751A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E84244">
        <w:rPr>
          <w:rFonts w:eastAsia="Calibri"/>
          <w:b/>
          <w:bCs/>
          <w:sz w:val="24"/>
          <w:szCs w:val="24"/>
        </w:rPr>
        <w:t>PRAVILA I POSTUPAK TESTIRANJA</w:t>
      </w:r>
    </w:p>
    <w:p w14:paraId="2CE22DD7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7C056C11" w14:textId="245A644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 xml:space="preserve">Po dolasku na provjeru znanja od kandidata će biti zatraženo predočavanje odgovarajuće identifikacijske isprave radi utvrđivanja identiteta. Kandidati koji </w:t>
      </w:r>
      <w:r w:rsidR="008B0E37">
        <w:rPr>
          <w:rFonts w:eastAsia="Calibri"/>
          <w:sz w:val="24"/>
          <w:szCs w:val="24"/>
        </w:rPr>
        <w:t xml:space="preserve">ne mogu dokazati identitet neće </w:t>
      </w:r>
      <w:r w:rsidRPr="00E84244">
        <w:rPr>
          <w:rFonts w:eastAsia="Calibri"/>
          <w:sz w:val="24"/>
          <w:szCs w:val="24"/>
        </w:rPr>
        <w:t>moći pristupiti testiranju. Za kandidata koji ne pristupi testiranju smatrat</w:t>
      </w:r>
      <w:r w:rsidR="008B0E37">
        <w:rPr>
          <w:rFonts w:eastAsia="Calibri"/>
          <w:sz w:val="24"/>
          <w:szCs w:val="24"/>
        </w:rPr>
        <w:t>i</w:t>
      </w:r>
      <w:r w:rsidRPr="00E84244">
        <w:rPr>
          <w:rFonts w:eastAsia="Calibri"/>
          <w:sz w:val="24"/>
          <w:szCs w:val="24"/>
        </w:rPr>
        <w:t xml:space="preserve"> </w:t>
      </w:r>
      <w:r w:rsidR="00281458">
        <w:rPr>
          <w:rFonts w:eastAsia="Calibri"/>
          <w:sz w:val="24"/>
          <w:szCs w:val="24"/>
        </w:rPr>
        <w:t>će se da je povukao prijavu na oglas</w:t>
      </w:r>
      <w:r w:rsidRPr="00E84244">
        <w:rPr>
          <w:rFonts w:eastAsia="Calibri"/>
          <w:sz w:val="24"/>
          <w:szCs w:val="24"/>
        </w:rPr>
        <w:t>.</w:t>
      </w:r>
    </w:p>
    <w:p w14:paraId="30B86351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Po utvrđivanju identiteta, kandidati će pristupiti pisanoj provjeri znanja.</w:t>
      </w:r>
    </w:p>
    <w:p w14:paraId="67BDE490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Navedena provjera traje 60 minuta.</w:t>
      </w:r>
    </w:p>
    <w:p w14:paraId="571D83C4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Kandidati su dužni pridržavati se utvrđenog vremena i rasporeda testiranja.</w:t>
      </w:r>
    </w:p>
    <w:p w14:paraId="2CC37064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E84244">
        <w:rPr>
          <w:rFonts w:eastAsia="Calibri"/>
          <w:sz w:val="24"/>
          <w:szCs w:val="24"/>
        </w:rPr>
        <w:t xml:space="preserve">Za vrijeme provjere znanja i sposobnosti </w:t>
      </w:r>
      <w:r w:rsidRPr="00E84244">
        <w:rPr>
          <w:rFonts w:eastAsia="Calibri"/>
          <w:b/>
          <w:bCs/>
          <w:sz w:val="24"/>
          <w:szCs w:val="24"/>
        </w:rPr>
        <w:t>nije dopušteno:</w:t>
      </w:r>
    </w:p>
    <w:p w14:paraId="60BB78D4" w14:textId="77777777" w:rsidR="006D751A" w:rsidRPr="00E84244" w:rsidRDefault="006D751A" w:rsidP="00FF4E7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koristiti se bilo kakvom literaturom odnosno bilješkama;</w:t>
      </w:r>
    </w:p>
    <w:p w14:paraId="13174851" w14:textId="77777777" w:rsidR="006D751A" w:rsidRPr="00E84244" w:rsidRDefault="006D751A" w:rsidP="00FF4E7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koristiti mobitel ili druga komunikacijska sredstva;</w:t>
      </w:r>
    </w:p>
    <w:p w14:paraId="7F3E0318" w14:textId="77777777" w:rsidR="006D751A" w:rsidRPr="00E84244" w:rsidRDefault="006D751A" w:rsidP="00FF4E7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napuštati prostoriju u kojoj se odvija provjera;</w:t>
      </w:r>
    </w:p>
    <w:p w14:paraId="0909AE5A" w14:textId="77777777" w:rsidR="006D751A" w:rsidRPr="00E84244" w:rsidRDefault="006D751A" w:rsidP="00FF4E7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razgovarati s ostalim kandidatima;</w:t>
      </w:r>
    </w:p>
    <w:p w14:paraId="53726545" w14:textId="77777777" w:rsidR="006D751A" w:rsidRPr="00E84244" w:rsidRDefault="006D751A" w:rsidP="00FF4E7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na bilo koji drugi način ometati koncentraciju ostalih kandidata.</w:t>
      </w:r>
    </w:p>
    <w:p w14:paraId="3B9C4ABC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 xml:space="preserve">Kandidati koji će se ponašati neprimjereno ili će prekršiti jedno od gore navedenih pravila biti će udaljeni s testiranja, a njihov rezultat </w:t>
      </w:r>
      <w:r w:rsidR="008B0E37">
        <w:rPr>
          <w:rFonts w:eastAsia="Calibri"/>
          <w:sz w:val="24"/>
          <w:szCs w:val="24"/>
        </w:rPr>
        <w:t xml:space="preserve">i rad Povjerenstvo za provedbu </w:t>
      </w:r>
      <w:r w:rsidR="0059339F">
        <w:rPr>
          <w:rFonts w:eastAsia="Calibri"/>
          <w:sz w:val="24"/>
          <w:szCs w:val="24"/>
        </w:rPr>
        <w:t>oglasa</w:t>
      </w:r>
      <w:r w:rsidRPr="00E84244">
        <w:rPr>
          <w:rFonts w:eastAsia="Calibri"/>
          <w:sz w:val="24"/>
          <w:szCs w:val="24"/>
        </w:rPr>
        <w:t xml:space="preserve"> neće bodovati.</w:t>
      </w:r>
    </w:p>
    <w:p w14:paraId="75EBD806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3CB5430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Prethodna provjera znanja i sposobnosti kandidata sastoji se od pisanog testiranja i intervjua.</w:t>
      </w:r>
    </w:p>
    <w:p w14:paraId="5A69B8EF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 xml:space="preserve">Za svaki dio provjere znanja dodjeljuje se od 1 do 10 bodova. </w:t>
      </w:r>
    </w:p>
    <w:p w14:paraId="24E8A0A3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Intervju se provodi samo s kandidatima koji su ostvarili najmanje 50% bodova iz svakog dijela provjere znanja i sposobnosti.</w:t>
      </w:r>
    </w:p>
    <w:p w14:paraId="0B6751B4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5B61A9E" w14:textId="77777777" w:rsidR="006D751A" w:rsidRPr="00E84244" w:rsidRDefault="008B0E37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Povjerenstvo za provedbu </w:t>
      </w:r>
      <w:r w:rsidR="0059339F">
        <w:rPr>
          <w:rFonts w:eastAsia="Calibri"/>
          <w:sz w:val="24"/>
          <w:szCs w:val="24"/>
        </w:rPr>
        <w:t>oglasa</w:t>
      </w:r>
      <w:r w:rsidR="006D751A" w:rsidRPr="00E84244">
        <w:rPr>
          <w:rFonts w:eastAsia="Calibri"/>
          <w:sz w:val="24"/>
          <w:szCs w:val="24"/>
        </w:rPr>
        <w:t xml:space="preserve"> kroz intervju s kandidatima utvrđuje interese, profesionalne ciljeve i motivaciju istih za rad u jedinici </w:t>
      </w:r>
      <w:r w:rsidR="0059339F">
        <w:rPr>
          <w:rFonts w:eastAsia="Calibri"/>
          <w:sz w:val="24"/>
          <w:szCs w:val="24"/>
        </w:rPr>
        <w:t>lokalne</w:t>
      </w:r>
      <w:r w:rsidR="006D751A" w:rsidRPr="00E84244">
        <w:rPr>
          <w:rFonts w:eastAsia="Calibri"/>
          <w:sz w:val="24"/>
          <w:szCs w:val="24"/>
        </w:rPr>
        <w:t xml:space="preserve"> samouprave.</w:t>
      </w:r>
    </w:p>
    <w:p w14:paraId="0627EA08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Rezultati intervjua boduju se na isti način kao pisano testiranje.</w:t>
      </w:r>
    </w:p>
    <w:p w14:paraId="4449E516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Kandidati koji su pristupili testiranju imaju pravo uvida u rezultate provedenog postupka.</w:t>
      </w:r>
    </w:p>
    <w:p w14:paraId="61E64EF6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B7028A1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Nakon provedenog testiranja i intervjua Povjerenstvo za</w:t>
      </w:r>
      <w:r w:rsidR="008B0E37">
        <w:rPr>
          <w:rFonts w:eastAsia="Calibri"/>
          <w:sz w:val="24"/>
          <w:szCs w:val="24"/>
        </w:rPr>
        <w:t xml:space="preserve"> provedbu </w:t>
      </w:r>
      <w:r w:rsidR="0059339F">
        <w:rPr>
          <w:rFonts w:eastAsia="Calibri"/>
          <w:sz w:val="24"/>
          <w:szCs w:val="24"/>
        </w:rPr>
        <w:t>oglasa</w:t>
      </w:r>
      <w:r w:rsidRPr="00E84244">
        <w:rPr>
          <w:rFonts w:eastAsia="Calibri"/>
          <w:sz w:val="24"/>
          <w:szCs w:val="24"/>
        </w:rPr>
        <w:t xml:space="preserve"> utvrđuje rang-listu kandidata prema ukupnom broju bodova ostvarenih na testiranju i intervjuu.</w:t>
      </w:r>
    </w:p>
    <w:p w14:paraId="78D38C97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6C57078" w14:textId="77777777" w:rsidR="006D751A" w:rsidRPr="00E84244" w:rsidRDefault="008B0E37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Povjerenstvo za provedbu </w:t>
      </w:r>
      <w:r w:rsidR="0059339F">
        <w:rPr>
          <w:rFonts w:eastAsia="Calibri"/>
          <w:sz w:val="24"/>
          <w:szCs w:val="24"/>
        </w:rPr>
        <w:t>oglasa</w:t>
      </w:r>
      <w:r>
        <w:rPr>
          <w:rFonts w:eastAsia="Calibri"/>
          <w:sz w:val="24"/>
          <w:szCs w:val="24"/>
        </w:rPr>
        <w:t xml:space="preserve"> dostavlja pročelnici</w:t>
      </w:r>
      <w:r w:rsidR="006D751A" w:rsidRPr="00E84244">
        <w:rPr>
          <w:rFonts w:eastAsia="Calibri"/>
          <w:sz w:val="24"/>
          <w:szCs w:val="24"/>
        </w:rPr>
        <w:t xml:space="preserve"> Izvješće o provedenom postupku, koje pot</w:t>
      </w:r>
      <w:r>
        <w:rPr>
          <w:rFonts w:eastAsia="Calibri"/>
          <w:sz w:val="24"/>
          <w:szCs w:val="24"/>
        </w:rPr>
        <w:t>pisuju svi članovi Povjerenstva.</w:t>
      </w:r>
    </w:p>
    <w:p w14:paraId="3F788FEC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F3632E5" w14:textId="77777777" w:rsidR="006D751A" w:rsidRPr="00E84244" w:rsidRDefault="008B0E37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Pročelnica</w:t>
      </w:r>
      <w:r w:rsidR="006D751A" w:rsidRPr="00E84244">
        <w:rPr>
          <w:rFonts w:eastAsia="Calibri"/>
          <w:sz w:val="24"/>
          <w:szCs w:val="24"/>
        </w:rPr>
        <w:t xml:space="preserve"> donosi rješenje o prijmu izabranog kandidata, koje će biti dostavljeno svim kandidatima ko</w:t>
      </w:r>
      <w:r>
        <w:rPr>
          <w:rFonts w:eastAsia="Calibri"/>
          <w:sz w:val="24"/>
          <w:szCs w:val="24"/>
        </w:rPr>
        <w:t xml:space="preserve">ji ispunjavaju formalne uvjete </w:t>
      </w:r>
      <w:r w:rsidR="0059339F">
        <w:rPr>
          <w:rFonts w:eastAsia="Calibri"/>
          <w:sz w:val="24"/>
          <w:szCs w:val="24"/>
        </w:rPr>
        <w:t>oglasa</w:t>
      </w:r>
      <w:r w:rsidR="006D751A" w:rsidRPr="00E84244">
        <w:rPr>
          <w:rFonts w:eastAsia="Calibri"/>
          <w:sz w:val="24"/>
          <w:szCs w:val="24"/>
        </w:rPr>
        <w:t>.</w:t>
      </w:r>
    </w:p>
    <w:p w14:paraId="2D4B2CB8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84244">
        <w:rPr>
          <w:rFonts w:eastAsia="Calibri"/>
          <w:sz w:val="24"/>
          <w:szCs w:val="24"/>
        </w:rPr>
        <w:t>Kandidat koji nije zadovoljan rješenjem o prijmu izabranog kandidata može podnijeti žalbu načelniku Op</w:t>
      </w:r>
      <w:r w:rsidR="008B0E37">
        <w:rPr>
          <w:rFonts w:eastAsia="Calibri"/>
          <w:sz w:val="24"/>
          <w:szCs w:val="24"/>
        </w:rPr>
        <w:t>ćine Vidovec</w:t>
      </w:r>
      <w:r w:rsidRPr="00E84244">
        <w:rPr>
          <w:rFonts w:eastAsia="Calibri"/>
          <w:sz w:val="24"/>
          <w:szCs w:val="24"/>
        </w:rPr>
        <w:t xml:space="preserve"> u roku od 15 dana od dana dostave rješenja.</w:t>
      </w:r>
    </w:p>
    <w:p w14:paraId="37FF6B28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CBEAEFA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E84244">
        <w:rPr>
          <w:rFonts w:eastAsia="Calibri"/>
          <w:b/>
          <w:bCs/>
          <w:sz w:val="24"/>
          <w:szCs w:val="24"/>
        </w:rPr>
        <w:t>POZIV ZA TESTIRANJE BITI ĆE OBJAVLJEN, NAJMANJE 5 DANA PR</w:t>
      </w:r>
      <w:r w:rsidR="008B0E37">
        <w:rPr>
          <w:rFonts w:eastAsia="Calibri"/>
          <w:b/>
          <w:bCs/>
          <w:sz w:val="24"/>
          <w:szCs w:val="24"/>
        </w:rPr>
        <w:t xml:space="preserve">IJE TESTIRANJA, NA WEB STRANICI </w:t>
      </w:r>
      <w:hyperlink r:id="rId6" w:history="1">
        <w:r w:rsidR="008B0E37" w:rsidRPr="008B0E37">
          <w:rPr>
            <w:rStyle w:val="Hiperveza"/>
            <w:rFonts w:eastAsia="Calibri"/>
            <w:b/>
            <w:bCs/>
            <w:color w:val="auto"/>
            <w:sz w:val="24"/>
            <w:szCs w:val="24"/>
            <w:u w:val="none"/>
          </w:rPr>
          <w:t>WWW.VIDOVEC.HR</w:t>
        </w:r>
      </w:hyperlink>
      <w:r w:rsidR="008B0E37">
        <w:rPr>
          <w:rFonts w:eastAsia="Calibri"/>
          <w:b/>
          <w:bCs/>
          <w:sz w:val="24"/>
          <w:szCs w:val="24"/>
        </w:rPr>
        <w:t xml:space="preserve"> I OGLASNOJ PLOČI OPĆINE VIDOVEC</w:t>
      </w:r>
      <w:r w:rsidRPr="00E84244">
        <w:rPr>
          <w:rFonts w:eastAsia="Calibri"/>
          <w:b/>
          <w:bCs/>
          <w:sz w:val="24"/>
          <w:szCs w:val="24"/>
        </w:rPr>
        <w:t>.</w:t>
      </w:r>
    </w:p>
    <w:p w14:paraId="1A4B97AC" w14:textId="77777777" w:rsidR="006D751A" w:rsidRPr="00E84244" w:rsidRDefault="006D751A" w:rsidP="006D751A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610655B5" w14:textId="7BD21034" w:rsidR="006D751A" w:rsidRPr="008B0E37" w:rsidRDefault="006D751A" w:rsidP="006D751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8B0E37">
        <w:rPr>
          <w:rFonts w:eastAsia="Calibri"/>
          <w:bCs/>
          <w:sz w:val="24"/>
          <w:szCs w:val="24"/>
        </w:rPr>
        <w:t xml:space="preserve">Za vrijeme boravka u prostorijama Općine </w:t>
      </w:r>
      <w:r w:rsidR="008B0E37" w:rsidRPr="008B0E37">
        <w:rPr>
          <w:rFonts w:eastAsia="Calibri"/>
          <w:bCs/>
          <w:sz w:val="24"/>
          <w:szCs w:val="24"/>
        </w:rPr>
        <w:t>Vidovec</w:t>
      </w:r>
      <w:r w:rsidRPr="008B0E37">
        <w:rPr>
          <w:rFonts w:eastAsia="Calibri"/>
          <w:bCs/>
          <w:sz w:val="24"/>
          <w:szCs w:val="24"/>
        </w:rPr>
        <w:t xml:space="preserve"> kandidati su dužni poštivati kućni red</w:t>
      </w:r>
      <w:r w:rsidR="00417BD8">
        <w:rPr>
          <w:rFonts w:eastAsia="Calibri"/>
          <w:bCs/>
          <w:sz w:val="24"/>
          <w:szCs w:val="24"/>
        </w:rPr>
        <w:t>, nositi zaštitnu masku</w:t>
      </w:r>
      <w:r w:rsidRPr="008B0E37">
        <w:rPr>
          <w:rFonts w:eastAsia="Calibri"/>
          <w:bCs/>
          <w:sz w:val="24"/>
          <w:szCs w:val="24"/>
        </w:rPr>
        <w:t xml:space="preserve"> i postupati prema uputama službenih osoba</w:t>
      </w:r>
      <w:r w:rsidRPr="008B0E37">
        <w:rPr>
          <w:rFonts w:eastAsia="Calibri"/>
          <w:bCs/>
          <w:sz w:val="28"/>
          <w:szCs w:val="28"/>
        </w:rPr>
        <w:t>.</w:t>
      </w:r>
    </w:p>
    <w:p w14:paraId="4B12F1BF" w14:textId="77777777" w:rsidR="006D751A" w:rsidRPr="00E84244" w:rsidRDefault="006D751A" w:rsidP="006D751A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0D102EE" w14:textId="77777777" w:rsidR="006D751A" w:rsidRPr="00E84244" w:rsidRDefault="006D751A" w:rsidP="006D751A">
      <w:pPr>
        <w:spacing w:after="200" w:line="276" w:lineRule="auto"/>
        <w:jc w:val="both"/>
        <w:rPr>
          <w:rFonts w:eastAsia="Calibri"/>
          <w:b/>
          <w:bCs/>
          <w:sz w:val="24"/>
          <w:szCs w:val="24"/>
        </w:rPr>
      </w:pPr>
      <w:r w:rsidRPr="00E84244">
        <w:rPr>
          <w:rFonts w:eastAsia="Calibri"/>
          <w:sz w:val="24"/>
          <w:szCs w:val="24"/>
          <w:lang w:eastAsia="en-US"/>
        </w:rPr>
        <w:tab/>
      </w:r>
      <w:r w:rsidRPr="00E84244">
        <w:rPr>
          <w:rFonts w:eastAsia="Calibri"/>
          <w:sz w:val="24"/>
          <w:szCs w:val="24"/>
          <w:lang w:eastAsia="en-US"/>
        </w:rPr>
        <w:tab/>
      </w:r>
      <w:r w:rsidRPr="00E84244">
        <w:rPr>
          <w:rFonts w:eastAsia="Calibri"/>
          <w:sz w:val="24"/>
          <w:szCs w:val="24"/>
          <w:lang w:eastAsia="en-US"/>
        </w:rPr>
        <w:tab/>
      </w:r>
      <w:r w:rsidRPr="00E84244">
        <w:rPr>
          <w:rFonts w:eastAsia="Calibri"/>
          <w:sz w:val="24"/>
          <w:szCs w:val="24"/>
          <w:lang w:eastAsia="en-US"/>
        </w:rPr>
        <w:tab/>
      </w:r>
      <w:r w:rsidRPr="00E84244">
        <w:rPr>
          <w:rFonts w:eastAsia="Calibri"/>
          <w:sz w:val="24"/>
          <w:szCs w:val="24"/>
          <w:lang w:eastAsia="en-US"/>
        </w:rPr>
        <w:tab/>
      </w:r>
      <w:r w:rsidRPr="00E84244">
        <w:rPr>
          <w:rFonts w:eastAsia="Calibri"/>
          <w:sz w:val="24"/>
          <w:szCs w:val="24"/>
          <w:lang w:eastAsia="en-US"/>
        </w:rPr>
        <w:tab/>
      </w:r>
      <w:r w:rsidRPr="00E84244">
        <w:rPr>
          <w:rFonts w:eastAsia="Calibri"/>
          <w:sz w:val="24"/>
          <w:szCs w:val="24"/>
          <w:lang w:eastAsia="en-US"/>
        </w:rPr>
        <w:tab/>
      </w:r>
      <w:r w:rsidRPr="00E84244">
        <w:rPr>
          <w:rFonts w:eastAsia="Calibri"/>
          <w:sz w:val="24"/>
          <w:szCs w:val="24"/>
          <w:lang w:eastAsia="en-US"/>
        </w:rPr>
        <w:tab/>
      </w:r>
      <w:r w:rsidR="0059339F">
        <w:rPr>
          <w:rFonts w:eastAsia="Calibri"/>
          <w:b/>
          <w:bCs/>
          <w:sz w:val="24"/>
          <w:szCs w:val="24"/>
        </w:rPr>
        <w:t>Povjerenstvo za provedbu oglasa</w:t>
      </w:r>
    </w:p>
    <w:p w14:paraId="5D6A366E" w14:textId="77777777" w:rsidR="006D751A" w:rsidRDefault="006D751A" w:rsidP="006D751A">
      <w:pPr>
        <w:pStyle w:val="tekst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</w:p>
    <w:p w14:paraId="4EB70F39" w14:textId="77777777" w:rsidR="00A0265F" w:rsidRDefault="00A0265F"/>
    <w:sectPr w:rsidR="00A0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-serif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FCA"/>
    <w:multiLevelType w:val="hybridMultilevel"/>
    <w:tmpl w:val="1418327E"/>
    <w:lvl w:ilvl="0" w:tplc="A328A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1A7"/>
    <w:multiLevelType w:val="hybridMultilevel"/>
    <w:tmpl w:val="B3C62E06"/>
    <w:lvl w:ilvl="0" w:tplc="67D0F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1CB2"/>
    <w:multiLevelType w:val="multilevel"/>
    <w:tmpl w:val="15C8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845F8"/>
    <w:multiLevelType w:val="hybridMultilevel"/>
    <w:tmpl w:val="E4F4F074"/>
    <w:lvl w:ilvl="0" w:tplc="67D0F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E3BEC"/>
    <w:multiLevelType w:val="hybridMultilevel"/>
    <w:tmpl w:val="3CD2B54C"/>
    <w:lvl w:ilvl="0" w:tplc="7C64704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6E9808FC"/>
    <w:multiLevelType w:val="multilevel"/>
    <w:tmpl w:val="969C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599660">
    <w:abstractNumId w:val="1"/>
  </w:num>
  <w:num w:numId="2" w16cid:durableId="757943358">
    <w:abstractNumId w:val="3"/>
  </w:num>
  <w:num w:numId="3" w16cid:durableId="392314953">
    <w:abstractNumId w:val="4"/>
  </w:num>
  <w:num w:numId="4" w16cid:durableId="579565095">
    <w:abstractNumId w:val="5"/>
  </w:num>
  <w:num w:numId="5" w16cid:durableId="1110586212">
    <w:abstractNumId w:val="2"/>
  </w:num>
  <w:num w:numId="6" w16cid:durableId="1431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51A"/>
    <w:rsid w:val="00046F31"/>
    <w:rsid w:val="000C7708"/>
    <w:rsid w:val="00172CAE"/>
    <w:rsid w:val="00223CBF"/>
    <w:rsid w:val="00230BDF"/>
    <w:rsid w:val="00281458"/>
    <w:rsid w:val="002B6ACA"/>
    <w:rsid w:val="00417BD8"/>
    <w:rsid w:val="0042154B"/>
    <w:rsid w:val="004330F6"/>
    <w:rsid w:val="004735E1"/>
    <w:rsid w:val="005202D3"/>
    <w:rsid w:val="0059339F"/>
    <w:rsid w:val="006D751A"/>
    <w:rsid w:val="006F7831"/>
    <w:rsid w:val="008B0E37"/>
    <w:rsid w:val="008D1B82"/>
    <w:rsid w:val="009D3197"/>
    <w:rsid w:val="009E6C72"/>
    <w:rsid w:val="009F5952"/>
    <w:rsid w:val="00A0265F"/>
    <w:rsid w:val="00C54A71"/>
    <w:rsid w:val="00ED2212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B5D0"/>
  <w15:docId w15:val="{66155D99-8B51-4BB6-84FB-B62B6E6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D751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B0E37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4330F6"/>
    <w:rPr>
      <w:i/>
      <w:iCs/>
    </w:rPr>
  </w:style>
  <w:style w:type="paragraph" w:styleId="Odlomakpopisa">
    <w:name w:val="List Paragraph"/>
    <w:basedOn w:val="Normal"/>
    <w:uiPriority w:val="34"/>
    <w:qFormat/>
    <w:rsid w:val="008D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DOVE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B538-1B3F-4E9B-9539-BD02E25E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6</cp:revision>
  <cp:lastPrinted>2021-04-09T11:00:00Z</cp:lastPrinted>
  <dcterms:created xsi:type="dcterms:W3CDTF">2019-03-12T08:01:00Z</dcterms:created>
  <dcterms:modified xsi:type="dcterms:W3CDTF">2025-02-05T13:02:00Z</dcterms:modified>
</cp:coreProperties>
</file>