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D3FD" w14:textId="77777777" w:rsidR="005C7EFD" w:rsidRPr="005C7EFD" w:rsidRDefault="005C7EFD" w:rsidP="00420D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C7EFD">
        <w:rPr>
          <w:rFonts w:ascii="Times New Roman" w:hAnsi="Times New Roman" w:cs="Times New Roman"/>
          <w:b/>
          <w:bCs/>
        </w:rPr>
        <w:t xml:space="preserve">OBRAZLOŽENJE </w:t>
      </w:r>
    </w:p>
    <w:p w14:paraId="3C2A6C93" w14:textId="103163B9" w:rsidR="005C7EFD" w:rsidRDefault="005C7EFD" w:rsidP="00420D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C7EFD">
        <w:rPr>
          <w:rFonts w:ascii="Times New Roman" w:hAnsi="Times New Roman" w:cs="Times New Roman"/>
          <w:b/>
          <w:bCs/>
        </w:rPr>
        <w:t>prijedloga Odluke o uvođenju Riznice Općine Vidovec</w:t>
      </w:r>
    </w:p>
    <w:p w14:paraId="4EE39151" w14:textId="77777777" w:rsidR="00420D5B" w:rsidRPr="00420D5B" w:rsidRDefault="00420D5B" w:rsidP="00420D5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352E0C" w14:textId="396C5184" w:rsidR="005C7EFD" w:rsidRPr="005C7EFD" w:rsidRDefault="005C7EFD" w:rsidP="005C7EFD">
      <w:pPr>
        <w:jc w:val="both"/>
        <w:rPr>
          <w:rFonts w:ascii="Times New Roman" w:hAnsi="Times New Roman" w:cs="Times New Roman"/>
          <w:b/>
          <w:bCs/>
        </w:rPr>
      </w:pPr>
      <w:r w:rsidRPr="005C7EFD">
        <w:rPr>
          <w:rFonts w:ascii="Times New Roman" w:hAnsi="Times New Roman" w:cs="Times New Roman"/>
          <w:b/>
          <w:bCs/>
        </w:rPr>
        <w:t xml:space="preserve">I. PRAVNI TEMELJ ZA DONOŠENJE OPĆEG AKTA </w:t>
      </w:r>
    </w:p>
    <w:p w14:paraId="2A60521C" w14:textId="408AFFE5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>Zakonska osnova za donošenje ove Odluke sadržana je u članku 50. Zakona o proračunu (</w:t>
      </w:r>
      <w:r>
        <w:rPr>
          <w:rFonts w:ascii="Times New Roman" w:hAnsi="Times New Roman" w:cs="Times New Roman"/>
        </w:rPr>
        <w:t>„</w:t>
      </w:r>
      <w:r w:rsidRPr="005C7EFD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</w:t>
      </w:r>
      <w:r w:rsidRPr="005C7EFD">
        <w:rPr>
          <w:rFonts w:ascii="Times New Roman" w:hAnsi="Times New Roman" w:cs="Times New Roman"/>
        </w:rPr>
        <w:t xml:space="preserve"> br. 144/21) i članku 31. Statuta </w:t>
      </w:r>
      <w:r>
        <w:rPr>
          <w:rFonts w:ascii="Times New Roman" w:hAnsi="Times New Roman" w:cs="Times New Roman"/>
        </w:rPr>
        <w:t>Vidovec</w:t>
      </w:r>
      <w:r w:rsidRPr="005C7EF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„</w:t>
      </w:r>
      <w:r w:rsidRPr="005C7EFD">
        <w:rPr>
          <w:rFonts w:ascii="Times New Roman" w:hAnsi="Times New Roman" w:cs="Times New Roman"/>
        </w:rPr>
        <w:t>Službeni vjesnik Varaždinske županije</w:t>
      </w:r>
      <w:r>
        <w:rPr>
          <w:rFonts w:ascii="Times New Roman" w:hAnsi="Times New Roman" w:cs="Times New Roman"/>
        </w:rPr>
        <w:t>“</w:t>
      </w:r>
      <w:r w:rsidRPr="005C7EFD">
        <w:rPr>
          <w:rFonts w:ascii="Times New Roman" w:hAnsi="Times New Roman" w:cs="Times New Roman"/>
        </w:rPr>
        <w:t xml:space="preserve"> br. </w:t>
      </w:r>
      <w:r>
        <w:rPr>
          <w:rFonts w:ascii="Times New Roman" w:hAnsi="Times New Roman" w:cs="Times New Roman"/>
        </w:rPr>
        <w:t>20</w:t>
      </w:r>
      <w:r w:rsidRPr="005C7EFD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1</w:t>
      </w:r>
      <w:r w:rsidRPr="005C7EFD">
        <w:rPr>
          <w:rFonts w:ascii="Times New Roman" w:hAnsi="Times New Roman" w:cs="Times New Roman"/>
        </w:rPr>
        <w:t xml:space="preserve">). </w:t>
      </w:r>
    </w:p>
    <w:p w14:paraId="039957A9" w14:textId="4959110C" w:rsidR="005C7EFD" w:rsidRPr="005C7EFD" w:rsidRDefault="005C7EFD" w:rsidP="005C7EFD">
      <w:pPr>
        <w:jc w:val="both"/>
        <w:rPr>
          <w:rFonts w:ascii="Times New Roman" w:hAnsi="Times New Roman" w:cs="Times New Roman"/>
          <w:b/>
          <w:bCs/>
        </w:rPr>
      </w:pPr>
      <w:r w:rsidRPr="005C7EFD">
        <w:rPr>
          <w:rFonts w:ascii="Times New Roman" w:hAnsi="Times New Roman" w:cs="Times New Roman"/>
          <w:b/>
          <w:bCs/>
        </w:rPr>
        <w:t>II</w:t>
      </w:r>
      <w:r w:rsidR="00420D5B">
        <w:rPr>
          <w:rFonts w:ascii="Times New Roman" w:hAnsi="Times New Roman" w:cs="Times New Roman"/>
          <w:b/>
          <w:bCs/>
        </w:rPr>
        <w:t xml:space="preserve">. </w:t>
      </w:r>
      <w:r w:rsidRPr="005C7EFD">
        <w:rPr>
          <w:rFonts w:ascii="Times New Roman" w:hAnsi="Times New Roman" w:cs="Times New Roman"/>
          <w:b/>
          <w:bCs/>
        </w:rPr>
        <w:t xml:space="preserve"> OCJENA STANJA, TEMELJNA PITANJA KOJA SE TREBAJU UREDITI I SVRHA KOJA SE ŽELI POSTIĆI DONOŠENJEM ODLUKE</w:t>
      </w:r>
    </w:p>
    <w:p w14:paraId="1A110527" w14:textId="337D3923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>Temelj za donošenje predmetne Odluke sadržan je u odredbi članka 50. Zakona o proračuna („Narodne novine“, br. 144/21 – u daljnjem tekstu: Zakon</w:t>
      </w:r>
      <w:r>
        <w:rPr>
          <w:rFonts w:ascii="Times New Roman" w:hAnsi="Times New Roman" w:cs="Times New Roman"/>
        </w:rPr>
        <w:t>)</w:t>
      </w:r>
      <w:r w:rsidRPr="005C7EFD">
        <w:rPr>
          <w:rFonts w:ascii="Times New Roman" w:hAnsi="Times New Roman" w:cs="Times New Roman"/>
        </w:rPr>
        <w:t xml:space="preserve">, gdje je definirano da jedinice lokalne i područne (regionalne) samouprave imaju jedinstveni račun proračuna koji se otvara i vodi u kreditnoj instituciji, a na kojem se ostvaruju svi priljevi i izvršavaju svi odljevi proračuna i proračunskih korisnika jedinice lokalne i područne (regionalne) samouprave. </w:t>
      </w:r>
    </w:p>
    <w:p w14:paraId="781B6EDF" w14:textId="77777777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>Navedenim zakonskim odredbama utvrđen je obvezujući okvir ustrojavanja jedinstvenog rizničnog računa, odnosno riznice.</w:t>
      </w:r>
    </w:p>
    <w:p w14:paraId="1F1E55A4" w14:textId="063C99DA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C7EFD">
        <w:rPr>
          <w:rFonts w:ascii="Times New Roman" w:hAnsi="Times New Roman" w:cs="Times New Roman"/>
        </w:rPr>
        <w:t>roračunski korisni</w:t>
      </w:r>
      <w:r>
        <w:rPr>
          <w:rFonts w:ascii="Times New Roman" w:hAnsi="Times New Roman" w:cs="Times New Roman"/>
        </w:rPr>
        <w:t>k</w:t>
      </w:r>
      <w:r w:rsidRPr="005C7E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Dječji vrtić </w:t>
      </w:r>
      <w:proofErr w:type="spellStart"/>
      <w:r>
        <w:rPr>
          <w:rFonts w:ascii="Times New Roman" w:hAnsi="Times New Roman" w:cs="Times New Roman"/>
        </w:rPr>
        <w:t>Škrinjica</w:t>
      </w:r>
      <w:proofErr w:type="spellEnd"/>
      <w:r>
        <w:rPr>
          <w:rFonts w:ascii="Times New Roman" w:hAnsi="Times New Roman" w:cs="Times New Roman"/>
        </w:rPr>
        <w:t xml:space="preserve"> trenutno </w:t>
      </w:r>
      <w:r w:rsidRPr="005C7EFD">
        <w:rPr>
          <w:rFonts w:ascii="Times New Roman" w:hAnsi="Times New Roman" w:cs="Times New Roman"/>
        </w:rPr>
        <w:t>raspola</w:t>
      </w:r>
      <w:r>
        <w:rPr>
          <w:rFonts w:ascii="Times New Roman" w:hAnsi="Times New Roman" w:cs="Times New Roman"/>
        </w:rPr>
        <w:t>že</w:t>
      </w:r>
      <w:r w:rsidRPr="005C7EFD">
        <w:rPr>
          <w:rFonts w:ascii="Times New Roman" w:hAnsi="Times New Roman" w:cs="Times New Roman"/>
        </w:rPr>
        <w:t xml:space="preserve"> na svo</w:t>
      </w:r>
      <w:r>
        <w:rPr>
          <w:rFonts w:ascii="Times New Roman" w:hAnsi="Times New Roman" w:cs="Times New Roman"/>
        </w:rPr>
        <w:t>jem</w:t>
      </w:r>
      <w:r w:rsidRPr="005C7E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poslovnom </w:t>
      </w:r>
      <w:r w:rsidRPr="005C7EFD">
        <w:rPr>
          <w:rFonts w:ascii="Times New Roman" w:hAnsi="Times New Roman" w:cs="Times New Roman"/>
        </w:rPr>
        <w:t>račun</w:t>
      </w:r>
      <w:r>
        <w:rPr>
          <w:rFonts w:ascii="Times New Roman" w:hAnsi="Times New Roman" w:cs="Times New Roman"/>
        </w:rPr>
        <w:t>u</w:t>
      </w:r>
      <w:r w:rsidRPr="005C7EFD">
        <w:rPr>
          <w:rFonts w:ascii="Times New Roman" w:hAnsi="Times New Roman" w:cs="Times New Roman"/>
        </w:rPr>
        <w:t xml:space="preserve"> sa svojim vlastitim</w:t>
      </w:r>
      <w:r>
        <w:rPr>
          <w:rFonts w:ascii="Times New Roman" w:hAnsi="Times New Roman" w:cs="Times New Roman"/>
        </w:rPr>
        <w:t xml:space="preserve"> </w:t>
      </w:r>
      <w:r w:rsidRPr="005C7EFD">
        <w:rPr>
          <w:rFonts w:ascii="Times New Roman" w:hAnsi="Times New Roman" w:cs="Times New Roman"/>
        </w:rPr>
        <w:t>prihodima, dok se nj</w:t>
      </w:r>
      <w:r>
        <w:rPr>
          <w:rFonts w:ascii="Times New Roman" w:hAnsi="Times New Roman" w:cs="Times New Roman"/>
        </w:rPr>
        <w:t>egovi</w:t>
      </w:r>
      <w:r w:rsidRPr="005C7EFD">
        <w:rPr>
          <w:rFonts w:ascii="Times New Roman" w:hAnsi="Times New Roman" w:cs="Times New Roman"/>
        </w:rPr>
        <w:t xml:space="preserve"> cjelokupni prihodi i rashodi planski i obračunski iskaz</w:t>
      </w:r>
      <w:r>
        <w:rPr>
          <w:rFonts w:ascii="Times New Roman" w:hAnsi="Times New Roman" w:cs="Times New Roman"/>
        </w:rPr>
        <w:t>uju</w:t>
      </w:r>
      <w:r w:rsidRPr="005C7EFD">
        <w:rPr>
          <w:rFonts w:ascii="Times New Roman" w:hAnsi="Times New Roman" w:cs="Times New Roman"/>
        </w:rPr>
        <w:t xml:space="preserve"> u sklopu Proračuna </w:t>
      </w:r>
      <w:r>
        <w:rPr>
          <w:rFonts w:ascii="Times New Roman" w:hAnsi="Times New Roman" w:cs="Times New Roman"/>
        </w:rPr>
        <w:t>Općine Vidovec</w:t>
      </w:r>
      <w:r w:rsidRPr="005C7EFD">
        <w:rPr>
          <w:rFonts w:ascii="Times New Roman" w:hAnsi="Times New Roman" w:cs="Times New Roman"/>
        </w:rPr>
        <w:t>.</w:t>
      </w:r>
    </w:p>
    <w:p w14:paraId="415054C1" w14:textId="4F664A0B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 xml:space="preserve"> Riznica predstavlja sustavan organizacijski ustroj za upravljanje financijama koji uspostavom jednoobraznog proračunskog računovodstva i isto takvog sustava informiranja na razini nadležnog proračuna i proračunskih korisnika omogućuje jedinicama lokalne i područne (regionalne) samouprave efikasnije korištenje i praćenje javnih resursa.</w:t>
      </w:r>
    </w:p>
    <w:p w14:paraId="6F13A2EA" w14:textId="02AE1EEC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>Uvođenjem jedinstvenog računa riznice ne znači da proračunski korisnik „gubi“ autonomiju korištenja sredstava, već se sustav upravljanja financijama konsolidira.</w:t>
      </w:r>
    </w:p>
    <w:p w14:paraId="2D43F456" w14:textId="49BA1F5D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>Proračunski korisnik i dalje</w:t>
      </w:r>
      <w:r w:rsidR="00420D5B">
        <w:rPr>
          <w:rFonts w:ascii="Times New Roman" w:hAnsi="Times New Roman" w:cs="Times New Roman"/>
        </w:rPr>
        <w:t xml:space="preserve"> će</w:t>
      </w:r>
      <w:r w:rsidRPr="005C7EFD">
        <w:rPr>
          <w:rFonts w:ascii="Times New Roman" w:hAnsi="Times New Roman" w:cs="Times New Roman"/>
        </w:rPr>
        <w:t xml:space="preserve"> odlu</w:t>
      </w:r>
      <w:r w:rsidR="00420D5B">
        <w:rPr>
          <w:rFonts w:ascii="Times New Roman" w:hAnsi="Times New Roman" w:cs="Times New Roman"/>
        </w:rPr>
        <w:t>čivati</w:t>
      </w:r>
      <w:r w:rsidRPr="005C7EFD">
        <w:rPr>
          <w:rFonts w:ascii="Times New Roman" w:hAnsi="Times New Roman" w:cs="Times New Roman"/>
        </w:rPr>
        <w:t xml:space="preserve"> o prikupljanju i trošenju svojih sredstava dok se isključivo plaćanja vrše s jednog jedinstvenog računa.</w:t>
      </w:r>
    </w:p>
    <w:p w14:paraId="0532E89C" w14:textId="7155969E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>Uvođenjem sustava riznice i jedinstvenog novčanog računa riznice osiguravaju se dodatne uštede te se postiže: kvalitetna kontrola nad prihodima i rashodima, jednoobraznost računovodstvenog planiranja, praćenja i izvršavanja što automatski znači jednostavniju konsolidaciju te potpuna integriranost te povećanje kvalitete samog procesa.</w:t>
      </w:r>
    </w:p>
    <w:p w14:paraId="138E592E" w14:textId="58FABBF8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>Početak rada riznice planiran je s danom 1. siječnja 2026. godine.</w:t>
      </w:r>
    </w:p>
    <w:p w14:paraId="228E0147" w14:textId="0461BFC3" w:rsidR="005C7EFD" w:rsidRPr="00420D5B" w:rsidRDefault="005C7EFD" w:rsidP="005C7EFD">
      <w:pPr>
        <w:jc w:val="both"/>
        <w:rPr>
          <w:rFonts w:ascii="Times New Roman" w:hAnsi="Times New Roman" w:cs="Times New Roman"/>
          <w:b/>
          <w:bCs/>
        </w:rPr>
      </w:pPr>
      <w:r w:rsidRPr="00420D5B">
        <w:rPr>
          <w:rFonts w:ascii="Times New Roman" w:hAnsi="Times New Roman" w:cs="Times New Roman"/>
          <w:b/>
          <w:bCs/>
        </w:rPr>
        <w:t>III</w:t>
      </w:r>
      <w:r w:rsidR="00420D5B" w:rsidRPr="00420D5B">
        <w:rPr>
          <w:rFonts w:ascii="Times New Roman" w:hAnsi="Times New Roman" w:cs="Times New Roman"/>
          <w:b/>
          <w:bCs/>
        </w:rPr>
        <w:t>.</w:t>
      </w:r>
      <w:r w:rsidRPr="00420D5B">
        <w:rPr>
          <w:rFonts w:ascii="Times New Roman" w:hAnsi="Times New Roman" w:cs="Times New Roman"/>
          <w:b/>
          <w:bCs/>
        </w:rPr>
        <w:t xml:space="preserve"> SREDSTAVA POTREBNA ZA PROVOĐENJE ODLUKE, TE NAČIN KAKO ĆE SE ISTA OSIGURATI </w:t>
      </w:r>
    </w:p>
    <w:p w14:paraId="40A8B054" w14:textId="596AB712" w:rsidR="005C7EFD" w:rsidRPr="005C7EFD" w:rsidRDefault="005C7EFD" w:rsidP="005C7EFD">
      <w:pPr>
        <w:jc w:val="both"/>
        <w:rPr>
          <w:rFonts w:ascii="Times New Roman" w:hAnsi="Times New Roman" w:cs="Times New Roman"/>
        </w:rPr>
      </w:pPr>
      <w:r w:rsidRPr="005C7EFD">
        <w:rPr>
          <w:rFonts w:ascii="Times New Roman" w:hAnsi="Times New Roman" w:cs="Times New Roman"/>
        </w:rPr>
        <w:t xml:space="preserve">Sredstva potrebna za realizaciju predmetne Odluke </w:t>
      </w:r>
      <w:r w:rsidR="003B1897" w:rsidRPr="005C7EFD">
        <w:rPr>
          <w:rFonts w:ascii="Times New Roman" w:hAnsi="Times New Roman" w:cs="Times New Roman"/>
        </w:rPr>
        <w:t>osigura</w:t>
      </w:r>
      <w:r w:rsidR="003B1897">
        <w:rPr>
          <w:rFonts w:ascii="Times New Roman" w:hAnsi="Times New Roman" w:cs="Times New Roman"/>
        </w:rPr>
        <w:t>na su</w:t>
      </w:r>
      <w:r w:rsidRPr="005C7EFD">
        <w:rPr>
          <w:rFonts w:ascii="Times New Roman" w:hAnsi="Times New Roman" w:cs="Times New Roman"/>
        </w:rPr>
        <w:t xml:space="preserve"> u Proračunu </w:t>
      </w:r>
      <w:r>
        <w:rPr>
          <w:rFonts w:ascii="Times New Roman" w:hAnsi="Times New Roman" w:cs="Times New Roman"/>
        </w:rPr>
        <w:t>Općine Vidovec.</w:t>
      </w:r>
    </w:p>
    <w:sectPr w:rsidR="005C7EFD" w:rsidRPr="005C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36E6D"/>
    <w:multiLevelType w:val="hybridMultilevel"/>
    <w:tmpl w:val="470C1834"/>
    <w:lvl w:ilvl="0" w:tplc="EA429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FD"/>
    <w:rsid w:val="003B1897"/>
    <w:rsid w:val="00420D5B"/>
    <w:rsid w:val="005C7EFD"/>
    <w:rsid w:val="00E5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E2C3"/>
  <w15:chartTrackingRefBased/>
  <w15:docId w15:val="{231FEE1E-8E9A-4942-9DC1-6EF40B9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7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7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7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7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7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7EF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7EF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7E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7E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7E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7E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7E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7E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7EF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7EF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7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2</cp:revision>
  <cp:lastPrinted>2025-10-13T09:59:00Z</cp:lastPrinted>
  <dcterms:created xsi:type="dcterms:W3CDTF">2025-10-13T08:39:00Z</dcterms:created>
  <dcterms:modified xsi:type="dcterms:W3CDTF">2025-10-13T09:59:00Z</dcterms:modified>
</cp:coreProperties>
</file>